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pPr>
      <w:r>
        <w:rPr>
          <w:b/>
          <w:color w:val="FFFFFF"/>
          <w:sz w:val="44"/>
          <w:szCs w:val="44"/>
        </w:rPr>
        <w:t xml:space="preserve">СХЕМА </w:t>
      </w:r>
    </w:p>
    <w:p>
      <w:pPr>
        <w:jc w:val="center"/>
        <w:rPr>
          <w:b/>
          <w:color w:val="FFFFFF"/>
          <w:sz w:val="44"/>
          <w:szCs w:val="44"/>
        </w:rPr>
      </w:pPr>
      <w:r>
        <w:rPr>
          <w:b/>
          <w:color w:val="FFFFFF"/>
          <w:sz w:val="44"/>
          <w:szCs w:val="44"/>
        </w:rPr>
        <w:t>МУНИЦИПАЛЬНОГО ОБРАЗОВАНИЯ ГОРОД КОЛЬЧУГИНО</w:t>
      </w:r>
    </w:p>
    <w:p>
      <w:pPr>
        <w:jc w:val="center"/>
        <w:rPr>
          <w:b/>
          <w:sz w:val="40"/>
          <w:szCs w:val="40"/>
        </w:rPr>
      </w:pPr>
      <w:r>
        <w:rPr>
          <w:b/>
          <w:color w:val="FFFFFF"/>
          <w:sz w:val="44"/>
          <w:szCs w:val="44"/>
        </w:rPr>
        <w:t>КОЛЬЧУГИНСКОГО РАЙОНА НА ПЕРИОД</w:t>
      </w:r>
      <w:r>
        <w:rPr>
          <w:b/>
          <w:sz w:val="40"/>
          <w:szCs w:val="40"/>
        </w:rPr>
        <w:t xml:space="preserve"> </w:t>
      </w:r>
    </w:p>
    <w:p>
      <w:pPr>
        <w:suppressAutoHyphens w:val="0"/>
        <w:autoSpaceDN/>
        <w:jc w:val="right"/>
        <w:textAlignment w:val="auto"/>
        <w:rPr>
          <w:b/>
          <w:sz w:val="28"/>
          <w:szCs w:val="28"/>
        </w:rPr>
      </w:pPr>
      <w:r>
        <w:rPr>
          <w:b/>
          <w:sz w:val="28"/>
          <w:szCs w:val="28"/>
        </w:rPr>
        <w:t>Утверждена постановлением</w:t>
      </w:r>
    </w:p>
    <w:p>
      <w:pPr>
        <w:suppressAutoHyphens w:val="0"/>
        <w:autoSpaceDN/>
        <w:jc w:val="right"/>
        <w:textAlignment w:val="auto"/>
        <w:rPr>
          <w:b/>
          <w:sz w:val="28"/>
          <w:szCs w:val="28"/>
        </w:rPr>
      </w:pPr>
      <w:r>
        <w:rPr>
          <w:b/>
          <w:sz w:val="28"/>
          <w:szCs w:val="28"/>
        </w:rPr>
        <w:t>администрации Тормосиновского</w:t>
      </w:r>
    </w:p>
    <w:p>
      <w:pPr>
        <w:suppressAutoHyphens w:val="0"/>
        <w:autoSpaceDN/>
        <w:jc w:val="right"/>
        <w:textAlignment w:val="auto"/>
        <w:rPr>
          <w:b/>
          <w:sz w:val="28"/>
          <w:szCs w:val="28"/>
        </w:rPr>
      </w:pPr>
      <w:r>
        <w:rPr>
          <w:b/>
          <w:sz w:val="28"/>
          <w:szCs w:val="28"/>
        </w:rPr>
        <w:t>сельского поселения</w:t>
      </w:r>
    </w:p>
    <w:p>
      <w:pPr>
        <w:suppressAutoHyphens w:val="0"/>
        <w:autoSpaceDN/>
        <w:jc w:val="right"/>
        <w:textAlignment w:val="auto"/>
        <w:rPr>
          <w:b/>
          <w:sz w:val="28"/>
          <w:szCs w:val="28"/>
        </w:rPr>
      </w:pPr>
      <w:r>
        <w:rPr>
          <w:b/>
          <w:sz w:val="28"/>
          <w:szCs w:val="28"/>
        </w:rPr>
        <w:t>от « 13 » августа 2014 г. №  25</w:t>
      </w:r>
    </w:p>
    <w:p>
      <w:pPr>
        <w:jc w:val="center"/>
        <w:rPr>
          <w:b/>
          <w:sz w:val="40"/>
          <w:szCs w:val="40"/>
        </w:rPr>
      </w:pPr>
    </w:p>
    <w:p>
      <w:pPr>
        <w:jc w:val="center"/>
        <w:rPr>
          <w:b/>
          <w:sz w:val="40"/>
          <w:szCs w:val="40"/>
        </w:rPr>
      </w:pPr>
    </w:p>
    <w:p>
      <w:pPr>
        <w:jc w:val="center"/>
        <w:rPr>
          <w:b/>
          <w:sz w:val="40"/>
          <w:szCs w:val="40"/>
        </w:rPr>
      </w:pPr>
    </w:p>
    <w:p>
      <w:pPr>
        <w:jc w:val="center"/>
        <w:rPr>
          <w:b/>
          <w:sz w:val="40"/>
          <w:szCs w:val="40"/>
        </w:rPr>
      </w:pPr>
    </w:p>
    <w:p>
      <w:pPr>
        <w:jc w:val="center"/>
        <w:rPr>
          <w:b/>
          <w:sz w:val="40"/>
          <w:szCs w:val="40"/>
        </w:rPr>
      </w:pPr>
    </w:p>
    <w:p>
      <w:pPr>
        <w:jc w:val="center"/>
        <w:rPr>
          <w:b/>
          <w:sz w:val="40"/>
          <w:szCs w:val="40"/>
        </w:rPr>
      </w:pPr>
    </w:p>
    <w:p>
      <w:pPr>
        <w:jc w:val="center"/>
        <w:rPr>
          <w:b/>
          <w:sz w:val="40"/>
          <w:szCs w:val="40"/>
        </w:rPr>
      </w:pPr>
    </w:p>
    <w:p>
      <w:pPr>
        <w:jc w:val="center"/>
        <w:rPr>
          <w:b/>
          <w:sz w:val="40"/>
          <w:szCs w:val="40"/>
        </w:rPr>
      </w:pPr>
    </w:p>
    <w:p>
      <w:pPr>
        <w:jc w:val="center"/>
        <w:rPr>
          <w:b/>
          <w:sz w:val="40"/>
          <w:szCs w:val="40"/>
        </w:rPr>
      </w:pPr>
    </w:p>
    <w:p>
      <w:pPr>
        <w:jc w:val="center"/>
        <w:rPr>
          <w:b/>
          <w:sz w:val="56"/>
          <w:szCs w:val="56"/>
        </w:rPr>
      </w:pPr>
      <w:r>
        <w:rPr>
          <w:b/>
          <w:sz w:val="56"/>
          <w:szCs w:val="56"/>
        </w:rPr>
        <w:t xml:space="preserve">СХЕМА  </w:t>
      </w:r>
    </w:p>
    <w:p>
      <w:pPr>
        <w:jc w:val="center"/>
        <w:rPr>
          <w:b/>
          <w:sz w:val="48"/>
          <w:szCs w:val="48"/>
        </w:rPr>
      </w:pPr>
      <w:r>
        <w:rPr>
          <w:b/>
          <w:sz w:val="56"/>
          <w:szCs w:val="56"/>
        </w:rPr>
        <w:t>ТЕПЛОСНАБЖЕНИЯ</w:t>
      </w:r>
      <w:r>
        <w:rPr>
          <w:b/>
          <w:sz w:val="48"/>
          <w:szCs w:val="48"/>
        </w:rPr>
        <w:t xml:space="preserve"> </w:t>
      </w:r>
    </w:p>
    <w:p>
      <w:pPr>
        <w:jc w:val="center"/>
        <w:rPr>
          <w:b/>
          <w:sz w:val="48"/>
          <w:szCs w:val="48"/>
        </w:rPr>
      </w:pPr>
    </w:p>
    <w:p>
      <w:pPr>
        <w:jc w:val="center"/>
        <w:rPr>
          <w:b/>
          <w:sz w:val="56"/>
          <w:szCs w:val="56"/>
        </w:rPr>
      </w:pPr>
      <w:r>
        <w:rPr>
          <w:b/>
          <w:sz w:val="48"/>
          <w:szCs w:val="48"/>
        </w:rPr>
        <w:t xml:space="preserve">Тормосиновского  сельского поселения, </w:t>
      </w:r>
    </w:p>
    <w:p>
      <w:pPr>
        <w:jc w:val="center"/>
        <w:rPr>
          <w:b/>
          <w:sz w:val="48"/>
          <w:szCs w:val="48"/>
        </w:rPr>
      </w:pPr>
      <w:r>
        <w:rPr>
          <w:b/>
          <w:sz w:val="48"/>
          <w:szCs w:val="48"/>
        </w:rPr>
        <w:t>Чернышковского  муниципального района на период до  2030 года</w:t>
      </w:r>
    </w:p>
    <w:p>
      <w:pPr>
        <w:jc w:val="center"/>
        <w:rPr>
          <w:b/>
          <w:sz w:val="56"/>
          <w:szCs w:val="56"/>
        </w:rPr>
      </w:pPr>
    </w:p>
    <w:p>
      <w:pPr>
        <w:jc w:val="center"/>
        <w:rPr>
          <w:b/>
          <w:sz w:val="56"/>
          <w:szCs w:val="56"/>
        </w:rPr>
      </w:pPr>
    </w:p>
    <w:p>
      <w:pPr>
        <w:jc w:val="center"/>
        <w:rPr>
          <w:b/>
          <w:sz w:val="40"/>
          <w:szCs w:val="40"/>
        </w:rPr>
      </w:pPr>
    </w:p>
    <w:p>
      <w:pPr>
        <w:jc w:val="center"/>
        <w:rPr>
          <w:b/>
          <w:sz w:val="40"/>
          <w:szCs w:val="40"/>
        </w:rPr>
      </w:pPr>
    </w:p>
    <w:p>
      <w:pPr>
        <w:jc w:val="center"/>
        <w:rPr>
          <w:b/>
          <w:sz w:val="40"/>
          <w:szCs w:val="40"/>
        </w:rPr>
      </w:pPr>
    </w:p>
    <w:p>
      <w:pPr>
        <w:jc w:val="center"/>
        <w:rPr>
          <w:b/>
          <w:sz w:val="40"/>
          <w:szCs w:val="40"/>
        </w:rPr>
      </w:pPr>
    </w:p>
    <w:p>
      <w:pPr>
        <w:jc w:val="center"/>
        <w:rPr>
          <w:b/>
          <w:sz w:val="40"/>
          <w:szCs w:val="40"/>
        </w:rPr>
      </w:pPr>
    </w:p>
    <w:p>
      <w:pPr>
        <w:jc w:val="center"/>
        <w:rPr>
          <w:b/>
          <w:sz w:val="40"/>
          <w:szCs w:val="40"/>
        </w:rPr>
      </w:pPr>
    </w:p>
    <w:p>
      <w:pPr>
        <w:suppressAutoHyphens w:val="0"/>
        <w:autoSpaceDN/>
        <w:jc w:val="right"/>
        <w:textAlignment w:val="auto"/>
        <w:rPr>
          <w:b/>
          <w:sz w:val="28"/>
          <w:szCs w:val="28"/>
        </w:rPr>
      </w:pPr>
    </w:p>
    <w:p>
      <w:pPr>
        <w:suppressAutoHyphens w:val="0"/>
        <w:autoSpaceDN/>
        <w:jc w:val="right"/>
        <w:textAlignment w:val="auto"/>
        <w:rPr>
          <w:b/>
          <w:sz w:val="28"/>
          <w:szCs w:val="28"/>
        </w:rPr>
      </w:pPr>
    </w:p>
    <w:p>
      <w:pPr>
        <w:suppressAutoHyphens w:val="0"/>
        <w:autoSpaceDN/>
        <w:jc w:val="right"/>
        <w:textAlignment w:val="auto"/>
        <w:rPr>
          <w:b/>
          <w:sz w:val="28"/>
          <w:szCs w:val="28"/>
        </w:rPr>
      </w:pPr>
    </w:p>
    <w:p>
      <w:pPr>
        <w:suppressAutoHyphens w:val="0"/>
        <w:autoSpaceDN/>
        <w:jc w:val="right"/>
        <w:textAlignment w:val="auto"/>
        <w:rPr>
          <w:b/>
          <w:sz w:val="28"/>
          <w:szCs w:val="28"/>
        </w:rPr>
      </w:pPr>
    </w:p>
    <w:p>
      <w:pPr>
        <w:autoSpaceDE w:val="0"/>
        <w:jc w:val="center"/>
        <w:rPr>
          <w:rFonts w:eastAsia="Calibri"/>
          <w:b/>
          <w:bCs/>
          <w:color w:val="000000"/>
          <w:sz w:val="28"/>
          <w:szCs w:val="28"/>
          <w:lang w:eastAsia="en-US"/>
        </w:rPr>
      </w:pPr>
      <w:r>
        <w:rPr>
          <w:rFonts w:eastAsia="Calibri"/>
          <w:b/>
          <w:bCs/>
          <w:color w:val="000000"/>
          <w:sz w:val="28"/>
          <w:szCs w:val="28"/>
          <w:lang w:eastAsia="en-US"/>
        </w:rPr>
        <w:t>ОГЛАВЛЕНИЕ:</w:t>
      </w:r>
    </w:p>
    <w:p>
      <w:pPr>
        <w:autoSpaceDE w:val="0"/>
        <w:jc w:val="center"/>
        <w:rPr>
          <w:rFonts w:eastAsia="Calibri"/>
          <w:color w:val="000000"/>
          <w:lang w:eastAsia="en-US"/>
        </w:rPr>
      </w:pPr>
    </w:p>
    <w:tbl>
      <w:tblPr>
        <w:tblStyle w:val="28"/>
        <w:tblW w:w="10240" w:type="dxa"/>
        <w:jc w:val="center"/>
        <w:tblInd w:w="0" w:type="dxa"/>
        <w:tblLayout w:type="fixed"/>
        <w:tblCellMar>
          <w:top w:w="0" w:type="dxa"/>
          <w:left w:w="108" w:type="dxa"/>
          <w:bottom w:w="0" w:type="dxa"/>
          <w:right w:w="108" w:type="dxa"/>
        </w:tblCellMar>
      </w:tblPr>
      <w:tblGrid>
        <w:gridCol w:w="1621"/>
        <w:gridCol w:w="7610"/>
        <w:gridCol w:w="1009"/>
      </w:tblGrid>
      <w:tr>
        <w:tblPrEx>
          <w:tblLayout w:type="fixed"/>
          <w:tblCellMar>
            <w:top w:w="0" w:type="dxa"/>
            <w:left w:w="108" w:type="dxa"/>
            <w:bottom w:w="0" w:type="dxa"/>
            <w:right w:w="108" w:type="dxa"/>
          </w:tblCellMar>
        </w:tblPrEx>
        <w:trPr>
          <w:jc w:val="center"/>
        </w:trPr>
        <w:tc>
          <w:tcPr>
            <w:tcW w:w="1621" w:type="dxa"/>
            <w:vAlign w:val="center"/>
          </w:tcPr>
          <w:p>
            <w:pPr>
              <w:suppressAutoHyphens w:val="0"/>
              <w:autoSpaceDN/>
              <w:jc w:val="center"/>
              <w:textAlignment w:val="auto"/>
              <w:rPr>
                <w:sz w:val="28"/>
                <w:szCs w:val="28"/>
              </w:rPr>
            </w:pPr>
          </w:p>
        </w:tc>
        <w:tc>
          <w:tcPr>
            <w:tcW w:w="7610" w:type="dxa"/>
          </w:tcPr>
          <w:p>
            <w:pPr>
              <w:suppressAutoHyphens w:val="0"/>
              <w:autoSpaceDN/>
              <w:textAlignment w:val="auto"/>
              <w:rPr>
                <w:sz w:val="28"/>
                <w:szCs w:val="28"/>
              </w:rPr>
            </w:pPr>
            <w:r>
              <w:rPr>
                <w:sz w:val="28"/>
                <w:szCs w:val="28"/>
              </w:rPr>
              <w:t>Введение</w:t>
            </w:r>
          </w:p>
        </w:tc>
        <w:tc>
          <w:tcPr>
            <w:tcW w:w="1009" w:type="dxa"/>
            <w:vAlign w:val="center"/>
          </w:tcPr>
          <w:p>
            <w:pPr>
              <w:jc w:val="center"/>
              <w:rPr>
                <w:sz w:val="28"/>
                <w:szCs w:val="28"/>
              </w:rPr>
            </w:pPr>
            <w:r>
              <w:rPr>
                <w:sz w:val="28"/>
                <w:szCs w:val="28"/>
              </w:rPr>
              <w:t>2</w:t>
            </w:r>
          </w:p>
        </w:tc>
      </w:tr>
      <w:tr>
        <w:tblPrEx>
          <w:tblLayout w:type="fixed"/>
          <w:tblCellMar>
            <w:top w:w="0" w:type="dxa"/>
            <w:left w:w="108" w:type="dxa"/>
            <w:bottom w:w="0" w:type="dxa"/>
            <w:right w:w="108" w:type="dxa"/>
          </w:tblCellMar>
        </w:tblPrEx>
        <w:trPr>
          <w:jc w:val="center"/>
        </w:trPr>
        <w:tc>
          <w:tcPr>
            <w:tcW w:w="1621" w:type="dxa"/>
            <w:vAlign w:val="center"/>
          </w:tcPr>
          <w:p>
            <w:pPr>
              <w:suppressAutoHyphens w:val="0"/>
              <w:autoSpaceDN/>
              <w:textAlignment w:val="auto"/>
              <w:rPr>
                <w:sz w:val="28"/>
                <w:szCs w:val="28"/>
              </w:rPr>
            </w:pPr>
            <w:r>
              <w:rPr>
                <w:bCs/>
                <w:sz w:val="28"/>
                <w:szCs w:val="28"/>
              </w:rPr>
              <w:t xml:space="preserve">Раздел 1   </w:t>
            </w:r>
          </w:p>
        </w:tc>
        <w:tc>
          <w:tcPr>
            <w:tcW w:w="7610" w:type="dxa"/>
          </w:tcPr>
          <w:p>
            <w:pPr>
              <w:suppressAutoHyphens w:val="0"/>
              <w:autoSpaceDN/>
              <w:textAlignment w:val="auto"/>
              <w:rPr>
                <w:sz w:val="28"/>
                <w:szCs w:val="28"/>
              </w:rPr>
            </w:pPr>
            <w:r>
              <w:rPr>
                <w:sz w:val="28"/>
                <w:szCs w:val="28"/>
              </w:rPr>
              <w:t>Показатели перспективного спроса на тепловую энергию (мощность) и теплоноситель в установленных границах  х.Тормосин, Тормосиновского сельского поселения, Чернышковского муниципального района Волгоградская область.</w:t>
            </w:r>
          </w:p>
        </w:tc>
        <w:tc>
          <w:tcPr>
            <w:tcW w:w="1009" w:type="dxa"/>
            <w:vAlign w:val="center"/>
          </w:tcPr>
          <w:p>
            <w:pPr>
              <w:jc w:val="center"/>
              <w:rPr>
                <w:sz w:val="28"/>
                <w:szCs w:val="28"/>
              </w:rPr>
            </w:pPr>
            <w:r>
              <w:rPr>
                <w:sz w:val="28"/>
                <w:szCs w:val="28"/>
              </w:rPr>
              <w:t>3</w:t>
            </w:r>
          </w:p>
        </w:tc>
      </w:tr>
      <w:tr>
        <w:tblPrEx>
          <w:tblLayout w:type="fixed"/>
          <w:tblCellMar>
            <w:top w:w="0" w:type="dxa"/>
            <w:left w:w="108" w:type="dxa"/>
            <w:bottom w:w="0" w:type="dxa"/>
            <w:right w:w="108" w:type="dxa"/>
          </w:tblCellMar>
        </w:tblPrEx>
        <w:trPr>
          <w:jc w:val="center"/>
        </w:trPr>
        <w:tc>
          <w:tcPr>
            <w:tcW w:w="1621" w:type="dxa"/>
            <w:vAlign w:val="center"/>
          </w:tcPr>
          <w:p>
            <w:pPr>
              <w:suppressAutoHyphens w:val="0"/>
              <w:autoSpaceDN/>
              <w:textAlignment w:val="auto"/>
              <w:rPr>
                <w:sz w:val="28"/>
                <w:szCs w:val="28"/>
              </w:rPr>
            </w:pPr>
            <w:r>
              <w:rPr>
                <w:sz w:val="28"/>
                <w:szCs w:val="28"/>
              </w:rPr>
              <w:t>Раздел 2</w:t>
            </w:r>
          </w:p>
        </w:tc>
        <w:tc>
          <w:tcPr>
            <w:tcW w:w="7610" w:type="dxa"/>
          </w:tcPr>
          <w:p>
            <w:pPr>
              <w:suppressAutoHyphens w:val="0"/>
              <w:autoSpaceDN/>
              <w:ind w:right="150"/>
              <w:jc w:val="both"/>
              <w:textAlignment w:val="auto"/>
              <w:rPr>
                <w:sz w:val="28"/>
                <w:szCs w:val="28"/>
              </w:rPr>
            </w:pPr>
            <w:r>
              <w:rPr>
                <w:bCs/>
                <w:iCs/>
                <w:sz w:val="28"/>
                <w:szCs w:val="28"/>
              </w:rPr>
              <w:t>Перспективные балансы располагаемой тепловой мощности источников тепловой энергии и тепловой нагрузки потребителей.</w:t>
            </w:r>
          </w:p>
        </w:tc>
        <w:tc>
          <w:tcPr>
            <w:tcW w:w="1009" w:type="dxa"/>
            <w:vAlign w:val="center"/>
          </w:tcPr>
          <w:p>
            <w:pPr>
              <w:jc w:val="center"/>
              <w:rPr>
                <w:sz w:val="28"/>
                <w:szCs w:val="28"/>
              </w:rPr>
            </w:pPr>
            <w:r>
              <w:rPr>
                <w:sz w:val="28"/>
                <w:szCs w:val="28"/>
              </w:rPr>
              <w:t>22</w:t>
            </w:r>
          </w:p>
        </w:tc>
      </w:tr>
      <w:tr>
        <w:tblPrEx>
          <w:tblLayout w:type="fixed"/>
          <w:tblCellMar>
            <w:top w:w="0" w:type="dxa"/>
            <w:left w:w="108" w:type="dxa"/>
            <w:bottom w:w="0" w:type="dxa"/>
            <w:right w:w="108" w:type="dxa"/>
          </w:tblCellMar>
        </w:tblPrEx>
        <w:trPr>
          <w:jc w:val="center"/>
        </w:trPr>
        <w:tc>
          <w:tcPr>
            <w:tcW w:w="1621" w:type="dxa"/>
            <w:vAlign w:val="center"/>
          </w:tcPr>
          <w:p>
            <w:pPr>
              <w:suppressAutoHyphens w:val="0"/>
              <w:autoSpaceDN/>
              <w:textAlignment w:val="auto"/>
              <w:rPr>
                <w:sz w:val="28"/>
                <w:szCs w:val="28"/>
              </w:rPr>
            </w:pPr>
            <w:r>
              <w:rPr>
                <w:sz w:val="28"/>
                <w:szCs w:val="28"/>
              </w:rPr>
              <w:t>Раздел 3</w:t>
            </w:r>
          </w:p>
        </w:tc>
        <w:tc>
          <w:tcPr>
            <w:tcW w:w="7610" w:type="dxa"/>
          </w:tcPr>
          <w:p>
            <w:pPr>
              <w:suppressAutoHyphens w:val="0"/>
              <w:autoSpaceDN/>
              <w:ind w:right="150"/>
              <w:jc w:val="both"/>
              <w:textAlignment w:val="auto"/>
              <w:rPr>
                <w:bCs/>
                <w:iCs/>
                <w:sz w:val="28"/>
                <w:szCs w:val="28"/>
              </w:rPr>
            </w:pPr>
            <w:r>
              <w:rPr>
                <w:bCs/>
                <w:iCs/>
                <w:sz w:val="28"/>
                <w:szCs w:val="28"/>
              </w:rPr>
              <w:t>Перспективные балансы теплоносителя.</w:t>
            </w:r>
          </w:p>
        </w:tc>
        <w:tc>
          <w:tcPr>
            <w:tcW w:w="1009" w:type="dxa"/>
            <w:vAlign w:val="center"/>
          </w:tcPr>
          <w:p>
            <w:pPr>
              <w:jc w:val="center"/>
              <w:rPr>
                <w:sz w:val="28"/>
                <w:szCs w:val="28"/>
              </w:rPr>
            </w:pPr>
            <w:r>
              <w:rPr>
                <w:sz w:val="28"/>
                <w:szCs w:val="28"/>
              </w:rPr>
              <w:t>23</w:t>
            </w:r>
          </w:p>
        </w:tc>
      </w:tr>
      <w:tr>
        <w:tblPrEx>
          <w:tblLayout w:type="fixed"/>
          <w:tblCellMar>
            <w:top w:w="0" w:type="dxa"/>
            <w:left w:w="108" w:type="dxa"/>
            <w:bottom w:w="0" w:type="dxa"/>
            <w:right w:w="108" w:type="dxa"/>
          </w:tblCellMar>
        </w:tblPrEx>
        <w:trPr>
          <w:jc w:val="center"/>
        </w:trPr>
        <w:tc>
          <w:tcPr>
            <w:tcW w:w="1621" w:type="dxa"/>
            <w:vAlign w:val="center"/>
          </w:tcPr>
          <w:p>
            <w:pPr>
              <w:suppressAutoHyphens w:val="0"/>
              <w:autoSpaceDN/>
              <w:textAlignment w:val="auto"/>
              <w:rPr>
                <w:sz w:val="28"/>
                <w:szCs w:val="28"/>
              </w:rPr>
            </w:pPr>
            <w:r>
              <w:rPr>
                <w:sz w:val="28"/>
                <w:szCs w:val="28"/>
              </w:rPr>
              <w:t>Раздел 4.</w:t>
            </w:r>
          </w:p>
        </w:tc>
        <w:tc>
          <w:tcPr>
            <w:tcW w:w="7610" w:type="dxa"/>
          </w:tcPr>
          <w:p>
            <w:pPr>
              <w:suppressAutoHyphens w:val="0"/>
              <w:autoSpaceDN/>
              <w:ind w:right="150"/>
              <w:jc w:val="both"/>
              <w:textAlignment w:val="auto"/>
              <w:rPr>
                <w:bCs/>
                <w:iCs/>
                <w:sz w:val="28"/>
                <w:szCs w:val="28"/>
              </w:rPr>
            </w:pPr>
            <w:r>
              <w:rPr>
                <w:bCs/>
                <w:iCs/>
                <w:sz w:val="28"/>
                <w:szCs w:val="28"/>
              </w:rPr>
              <w:t>Предложения по строительству, реконструкции и техническому перевооружению источников тепловой энергии.</w:t>
            </w:r>
          </w:p>
        </w:tc>
        <w:tc>
          <w:tcPr>
            <w:tcW w:w="1009" w:type="dxa"/>
            <w:vAlign w:val="center"/>
          </w:tcPr>
          <w:p>
            <w:pPr>
              <w:jc w:val="center"/>
              <w:rPr>
                <w:sz w:val="28"/>
                <w:szCs w:val="28"/>
              </w:rPr>
            </w:pPr>
            <w:r>
              <w:rPr>
                <w:sz w:val="28"/>
                <w:szCs w:val="28"/>
              </w:rPr>
              <w:t>23</w:t>
            </w:r>
          </w:p>
        </w:tc>
      </w:tr>
      <w:tr>
        <w:tblPrEx>
          <w:tblLayout w:type="fixed"/>
          <w:tblCellMar>
            <w:top w:w="0" w:type="dxa"/>
            <w:left w:w="108" w:type="dxa"/>
            <w:bottom w:w="0" w:type="dxa"/>
            <w:right w:w="108" w:type="dxa"/>
          </w:tblCellMar>
        </w:tblPrEx>
        <w:trPr>
          <w:jc w:val="center"/>
        </w:trPr>
        <w:tc>
          <w:tcPr>
            <w:tcW w:w="1621" w:type="dxa"/>
            <w:vAlign w:val="center"/>
          </w:tcPr>
          <w:p>
            <w:pPr>
              <w:suppressAutoHyphens w:val="0"/>
              <w:autoSpaceDN/>
              <w:textAlignment w:val="auto"/>
              <w:rPr>
                <w:sz w:val="28"/>
                <w:szCs w:val="28"/>
              </w:rPr>
            </w:pPr>
            <w:r>
              <w:rPr>
                <w:sz w:val="28"/>
                <w:szCs w:val="28"/>
              </w:rPr>
              <w:t>Раздел 5.</w:t>
            </w:r>
          </w:p>
        </w:tc>
        <w:tc>
          <w:tcPr>
            <w:tcW w:w="7610" w:type="dxa"/>
          </w:tcPr>
          <w:p>
            <w:pPr>
              <w:suppressAutoHyphens w:val="0"/>
              <w:autoSpaceDN/>
              <w:ind w:right="150"/>
              <w:jc w:val="both"/>
              <w:textAlignment w:val="auto"/>
              <w:rPr>
                <w:bCs/>
                <w:iCs/>
                <w:sz w:val="28"/>
                <w:szCs w:val="28"/>
              </w:rPr>
            </w:pPr>
            <w:r>
              <w:rPr>
                <w:bCs/>
                <w:iCs/>
                <w:sz w:val="28"/>
                <w:szCs w:val="28"/>
              </w:rPr>
              <w:t>Решения по новому строительству и реконструкции тепловых сетей.</w:t>
            </w:r>
          </w:p>
        </w:tc>
        <w:tc>
          <w:tcPr>
            <w:tcW w:w="1009" w:type="dxa"/>
            <w:vAlign w:val="center"/>
          </w:tcPr>
          <w:p>
            <w:pPr>
              <w:jc w:val="center"/>
              <w:rPr>
                <w:sz w:val="28"/>
                <w:szCs w:val="28"/>
              </w:rPr>
            </w:pPr>
            <w:r>
              <w:rPr>
                <w:sz w:val="28"/>
                <w:szCs w:val="28"/>
              </w:rPr>
              <w:t>26</w:t>
            </w:r>
          </w:p>
        </w:tc>
      </w:tr>
      <w:tr>
        <w:tblPrEx>
          <w:tblLayout w:type="fixed"/>
          <w:tblCellMar>
            <w:top w:w="0" w:type="dxa"/>
            <w:left w:w="108" w:type="dxa"/>
            <w:bottom w:w="0" w:type="dxa"/>
            <w:right w:w="108" w:type="dxa"/>
          </w:tblCellMar>
        </w:tblPrEx>
        <w:trPr>
          <w:jc w:val="center"/>
        </w:trPr>
        <w:tc>
          <w:tcPr>
            <w:tcW w:w="1621" w:type="dxa"/>
            <w:vAlign w:val="center"/>
          </w:tcPr>
          <w:p>
            <w:pPr>
              <w:suppressAutoHyphens w:val="0"/>
              <w:autoSpaceDN/>
              <w:textAlignment w:val="auto"/>
              <w:rPr>
                <w:sz w:val="28"/>
                <w:szCs w:val="28"/>
              </w:rPr>
            </w:pPr>
            <w:r>
              <w:rPr>
                <w:sz w:val="28"/>
                <w:szCs w:val="28"/>
              </w:rPr>
              <w:t>Раздел 6.</w:t>
            </w:r>
          </w:p>
        </w:tc>
        <w:tc>
          <w:tcPr>
            <w:tcW w:w="7610" w:type="dxa"/>
          </w:tcPr>
          <w:p>
            <w:pPr>
              <w:rPr>
                <w:sz w:val="28"/>
                <w:szCs w:val="28"/>
              </w:rPr>
            </w:pPr>
            <w:r>
              <w:rPr>
                <w:sz w:val="28"/>
                <w:szCs w:val="28"/>
              </w:rPr>
              <w:t>Перспективные топливные балансы.</w:t>
            </w:r>
          </w:p>
        </w:tc>
        <w:tc>
          <w:tcPr>
            <w:tcW w:w="1009" w:type="dxa"/>
            <w:vAlign w:val="center"/>
          </w:tcPr>
          <w:p>
            <w:pPr>
              <w:jc w:val="center"/>
              <w:rPr>
                <w:sz w:val="28"/>
                <w:szCs w:val="28"/>
              </w:rPr>
            </w:pPr>
            <w:r>
              <w:rPr>
                <w:sz w:val="28"/>
                <w:szCs w:val="28"/>
              </w:rPr>
              <w:t>26</w:t>
            </w:r>
          </w:p>
        </w:tc>
      </w:tr>
      <w:tr>
        <w:tblPrEx>
          <w:tblLayout w:type="fixed"/>
          <w:tblCellMar>
            <w:top w:w="0" w:type="dxa"/>
            <w:left w:w="108" w:type="dxa"/>
            <w:bottom w:w="0" w:type="dxa"/>
            <w:right w:w="108" w:type="dxa"/>
          </w:tblCellMar>
        </w:tblPrEx>
        <w:trPr>
          <w:jc w:val="center"/>
        </w:trPr>
        <w:tc>
          <w:tcPr>
            <w:tcW w:w="1621" w:type="dxa"/>
            <w:vAlign w:val="center"/>
          </w:tcPr>
          <w:p>
            <w:pPr>
              <w:suppressAutoHyphens w:val="0"/>
              <w:autoSpaceDN/>
              <w:textAlignment w:val="auto"/>
              <w:rPr>
                <w:sz w:val="28"/>
                <w:szCs w:val="28"/>
              </w:rPr>
            </w:pPr>
            <w:r>
              <w:rPr>
                <w:sz w:val="28"/>
                <w:szCs w:val="28"/>
              </w:rPr>
              <w:t>Раздел 7.</w:t>
            </w:r>
          </w:p>
        </w:tc>
        <w:tc>
          <w:tcPr>
            <w:tcW w:w="7610" w:type="dxa"/>
          </w:tcPr>
          <w:p>
            <w:pPr>
              <w:rPr>
                <w:sz w:val="28"/>
                <w:szCs w:val="28"/>
              </w:rPr>
            </w:pPr>
            <w:r>
              <w:rPr>
                <w:sz w:val="28"/>
                <w:szCs w:val="28"/>
              </w:rPr>
              <w:t>Инвестиции в строительство, реконструкцию  и техническое перевооружение.</w:t>
            </w:r>
          </w:p>
        </w:tc>
        <w:tc>
          <w:tcPr>
            <w:tcW w:w="1009" w:type="dxa"/>
            <w:vAlign w:val="center"/>
          </w:tcPr>
          <w:p>
            <w:pPr>
              <w:jc w:val="center"/>
              <w:rPr>
                <w:sz w:val="28"/>
                <w:szCs w:val="28"/>
              </w:rPr>
            </w:pPr>
            <w:r>
              <w:rPr>
                <w:sz w:val="28"/>
                <w:szCs w:val="28"/>
              </w:rPr>
              <w:t>27</w:t>
            </w:r>
          </w:p>
        </w:tc>
      </w:tr>
      <w:tr>
        <w:tblPrEx>
          <w:tblLayout w:type="fixed"/>
          <w:tblCellMar>
            <w:top w:w="0" w:type="dxa"/>
            <w:left w:w="108" w:type="dxa"/>
            <w:bottom w:w="0" w:type="dxa"/>
            <w:right w:w="108" w:type="dxa"/>
          </w:tblCellMar>
        </w:tblPrEx>
        <w:trPr>
          <w:jc w:val="center"/>
        </w:trPr>
        <w:tc>
          <w:tcPr>
            <w:tcW w:w="1621" w:type="dxa"/>
            <w:vAlign w:val="center"/>
          </w:tcPr>
          <w:p>
            <w:pPr>
              <w:suppressAutoHyphens w:val="0"/>
              <w:autoSpaceDN/>
              <w:textAlignment w:val="auto"/>
              <w:rPr>
                <w:sz w:val="28"/>
                <w:szCs w:val="28"/>
              </w:rPr>
            </w:pPr>
            <w:r>
              <w:rPr>
                <w:sz w:val="28"/>
                <w:szCs w:val="28"/>
              </w:rPr>
              <w:t>Раздел 8.</w:t>
            </w:r>
          </w:p>
        </w:tc>
        <w:tc>
          <w:tcPr>
            <w:tcW w:w="7610" w:type="dxa"/>
          </w:tcPr>
          <w:p>
            <w:pPr>
              <w:rPr>
                <w:sz w:val="28"/>
                <w:szCs w:val="28"/>
              </w:rPr>
            </w:pPr>
            <w:r>
              <w:rPr>
                <w:sz w:val="28"/>
                <w:szCs w:val="28"/>
              </w:rPr>
              <w:t xml:space="preserve">Решение об определении единой теплоснабжающей </w:t>
            </w:r>
          </w:p>
          <w:p>
            <w:pPr>
              <w:rPr>
                <w:sz w:val="28"/>
                <w:szCs w:val="28"/>
              </w:rPr>
            </w:pPr>
            <w:r>
              <w:rPr>
                <w:sz w:val="28"/>
                <w:szCs w:val="28"/>
              </w:rPr>
              <w:t>организации(организаций).</w:t>
            </w:r>
          </w:p>
        </w:tc>
        <w:tc>
          <w:tcPr>
            <w:tcW w:w="1009" w:type="dxa"/>
            <w:vAlign w:val="center"/>
          </w:tcPr>
          <w:p>
            <w:pPr>
              <w:jc w:val="center"/>
              <w:rPr>
                <w:sz w:val="28"/>
                <w:szCs w:val="28"/>
              </w:rPr>
            </w:pPr>
            <w:r>
              <w:rPr>
                <w:sz w:val="28"/>
                <w:szCs w:val="28"/>
              </w:rPr>
              <w:t>28</w:t>
            </w:r>
          </w:p>
        </w:tc>
      </w:tr>
      <w:tr>
        <w:tblPrEx>
          <w:tblLayout w:type="fixed"/>
          <w:tblCellMar>
            <w:top w:w="0" w:type="dxa"/>
            <w:left w:w="108" w:type="dxa"/>
            <w:bottom w:w="0" w:type="dxa"/>
            <w:right w:w="108" w:type="dxa"/>
          </w:tblCellMar>
        </w:tblPrEx>
        <w:trPr>
          <w:jc w:val="center"/>
        </w:trPr>
        <w:tc>
          <w:tcPr>
            <w:tcW w:w="1621" w:type="dxa"/>
            <w:vAlign w:val="center"/>
          </w:tcPr>
          <w:p>
            <w:pPr>
              <w:suppressAutoHyphens w:val="0"/>
              <w:autoSpaceDN/>
              <w:textAlignment w:val="auto"/>
              <w:rPr>
                <w:sz w:val="28"/>
                <w:szCs w:val="28"/>
              </w:rPr>
            </w:pPr>
            <w:r>
              <w:rPr>
                <w:sz w:val="28"/>
                <w:szCs w:val="28"/>
              </w:rPr>
              <w:t>Раздел 9.</w:t>
            </w:r>
          </w:p>
        </w:tc>
        <w:tc>
          <w:tcPr>
            <w:tcW w:w="7610" w:type="dxa"/>
          </w:tcPr>
          <w:p>
            <w:pPr>
              <w:rPr>
                <w:sz w:val="28"/>
                <w:szCs w:val="28"/>
              </w:rPr>
            </w:pPr>
            <w:r>
              <w:rPr>
                <w:sz w:val="28"/>
                <w:szCs w:val="28"/>
              </w:rPr>
              <w:t>Решения о распределении тепловой нагрузки между источниками тепловой энергии.</w:t>
            </w:r>
          </w:p>
        </w:tc>
        <w:tc>
          <w:tcPr>
            <w:tcW w:w="1009" w:type="dxa"/>
            <w:vAlign w:val="center"/>
          </w:tcPr>
          <w:p>
            <w:pPr>
              <w:jc w:val="center"/>
              <w:rPr>
                <w:sz w:val="28"/>
                <w:szCs w:val="28"/>
              </w:rPr>
            </w:pPr>
            <w:r>
              <w:rPr>
                <w:sz w:val="28"/>
                <w:szCs w:val="28"/>
              </w:rPr>
              <w:t>29</w:t>
            </w:r>
          </w:p>
        </w:tc>
      </w:tr>
      <w:tr>
        <w:tblPrEx>
          <w:tblLayout w:type="fixed"/>
          <w:tblCellMar>
            <w:top w:w="0" w:type="dxa"/>
            <w:left w:w="108" w:type="dxa"/>
            <w:bottom w:w="0" w:type="dxa"/>
            <w:right w:w="108" w:type="dxa"/>
          </w:tblCellMar>
        </w:tblPrEx>
        <w:trPr>
          <w:jc w:val="center"/>
        </w:trPr>
        <w:tc>
          <w:tcPr>
            <w:tcW w:w="1621" w:type="dxa"/>
            <w:vAlign w:val="center"/>
          </w:tcPr>
          <w:p>
            <w:pPr>
              <w:suppressAutoHyphens w:val="0"/>
              <w:autoSpaceDN/>
              <w:textAlignment w:val="auto"/>
              <w:rPr>
                <w:sz w:val="28"/>
                <w:szCs w:val="28"/>
              </w:rPr>
            </w:pPr>
            <w:r>
              <w:rPr>
                <w:sz w:val="28"/>
                <w:szCs w:val="28"/>
              </w:rPr>
              <w:t>Раздел 10.</w:t>
            </w:r>
          </w:p>
        </w:tc>
        <w:tc>
          <w:tcPr>
            <w:tcW w:w="7610" w:type="dxa"/>
          </w:tcPr>
          <w:p>
            <w:pPr>
              <w:rPr>
                <w:sz w:val="28"/>
                <w:szCs w:val="28"/>
              </w:rPr>
            </w:pPr>
            <w:r>
              <w:rPr>
                <w:sz w:val="28"/>
                <w:szCs w:val="28"/>
              </w:rPr>
              <w:t>Решения по бесхозяйным тепловым сетям.</w:t>
            </w:r>
          </w:p>
        </w:tc>
        <w:tc>
          <w:tcPr>
            <w:tcW w:w="1009" w:type="dxa"/>
            <w:vAlign w:val="center"/>
          </w:tcPr>
          <w:p>
            <w:pPr>
              <w:jc w:val="center"/>
              <w:rPr>
                <w:sz w:val="28"/>
                <w:szCs w:val="28"/>
              </w:rPr>
            </w:pPr>
            <w:r>
              <w:rPr>
                <w:sz w:val="28"/>
                <w:szCs w:val="28"/>
              </w:rPr>
              <w:t>29</w:t>
            </w:r>
          </w:p>
        </w:tc>
      </w:tr>
    </w:tbl>
    <w:p>
      <w:pPr>
        <w:rPr>
          <w:b/>
          <w:color w:val="FF0000"/>
          <w:sz w:val="40"/>
          <w:szCs w:val="40"/>
        </w:rPr>
      </w:pPr>
    </w:p>
    <w:p>
      <w:pPr>
        <w:rPr>
          <w:b/>
          <w:color w:val="FF0000"/>
          <w:sz w:val="40"/>
          <w:szCs w:val="40"/>
        </w:rPr>
      </w:pPr>
    </w:p>
    <w:p>
      <w:pPr>
        <w:rPr>
          <w:b/>
          <w:color w:val="FF0000"/>
          <w:sz w:val="40"/>
          <w:szCs w:val="40"/>
        </w:rPr>
      </w:pPr>
    </w:p>
    <w:p>
      <w:pPr>
        <w:rPr>
          <w:b/>
          <w:color w:val="FF0000"/>
          <w:sz w:val="40"/>
          <w:szCs w:val="40"/>
        </w:rPr>
      </w:pPr>
    </w:p>
    <w:p>
      <w:pPr>
        <w:rPr>
          <w:b/>
          <w:color w:val="FF0000"/>
          <w:sz w:val="40"/>
          <w:szCs w:val="40"/>
        </w:rPr>
      </w:pPr>
    </w:p>
    <w:p>
      <w:pPr>
        <w:rPr>
          <w:b/>
          <w:color w:val="FF0000"/>
          <w:sz w:val="40"/>
          <w:szCs w:val="40"/>
        </w:rPr>
      </w:pPr>
    </w:p>
    <w:p>
      <w:pPr>
        <w:rPr>
          <w:b/>
          <w:color w:val="FF0000"/>
          <w:sz w:val="40"/>
          <w:szCs w:val="40"/>
        </w:rPr>
      </w:pPr>
    </w:p>
    <w:p>
      <w:pPr>
        <w:rPr>
          <w:b/>
          <w:color w:val="FF0000"/>
          <w:sz w:val="40"/>
          <w:szCs w:val="40"/>
        </w:rPr>
      </w:pPr>
    </w:p>
    <w:p>
      <w:pPr>
        <w:rPr>
          <w:b/>
          <w:color w:val="FF0000"/>
          <w:sz w:val="40"/>
          <w:szCs w:val="40"/>
        </w:rPr>
      </w:pPr>
    </w:p>
    <w:p>
      <w:pPr>
        <w:rPr>
          <w:b/>
          <w:color w:val="FF0000"/>
          <w:sz w:val="40"/>
          <w:szCs w:val="40"/>
        </w:rPr>
      </w:pPr>
    </w:p>
    <w:p>
      <w:pPr>
        <w:rPr>
          <w:b/>
          <w:color w:val="FF0000"/>
          <w:sz w:val="40"/>
          <w:szCs w:val="40"/>
        </w:rPr>
      </w:pPr>
    </w:p>
    <w:p>
      <w:pPr>
        <w:suppressAutoHyphens w:val="0"/>
        <w:autoSpaceDN/>
        <w:jc w:val="right"/>
        <w:textAlignment w:val="auto"/>
        <w:rPr>
          <w:b/>
          <w:sz w:val="28"/>
          <w:szCs w:val="28"/>
        </w:rPr>
      </w:pPr>
    </w:p>
    <w:p>
      <w:pPr>
        <w:suppressAutoHyphens w:val="0"/>
        <w:autoSpaceDN/>
        <w:jc w:val="center"/>
        <w:textAlignment w:val="auto"/>
        <w:rPr>
          <w:b/>
          <w:sz w:val="28"/>
          <w:szCs w:val="28"/>
        </w:rPr>
      </w:pPr>
      <w:r>
        <w:rPr>
          <w:b/>
          <w:sz w:val="28"/>
          <w:szCs w:val="28"/>
        </w:rPr>
        <w:t>СХЕМА ТЕПЛОСНАБЖЕНИЯ</w:t>
      </w:r>
    </w:p>
    <w:p>
      <w:pPr>
        <w:suppressAutoHyphens w:val="0"/>
        <w:autoSpaceDN/>
        <w:jc w:val="center"/>
        <w:textAlignment w:val="auto"/>
        <w:rPr>
          <w:b/>
          <w:sz w:val="28"/>
          <w:szCs w:val="28"/>
        </w:rPr>
      </w:pPr>
      <w:r>
        <w:rPr>
          <w:b/>
          <w:sz w:val="28"/>
          <w:szCs w:val="28"/>
        </w:rPr>
        <w:t>Тормосиновского сельского поселения</w:t>
      </w:r>
    </w:p>
    <w:p>
      <w:pPr>
        <w:suppressAutoHyphens w:val="0"/>
        <w:autoSpaceDN/>
        <w:jc w:val="center"/>
        <w:textAlignment w:val="auto"/>
        <w:rPr>
          <w:b/>
          <w:sz w:val="28"/>
          <w:szCs w:val="28"/>
        </w:rPr>
      </w:pPr>
      <w:r>
        <w:rPr>
          <w:b/>
          <w:sz w:val="28"/>
          <w:szCs w:val="28"/>
        </w:rPr>
        <w:t>Чернышковского муниципального района</w:t>
      </w:r>
    </w:p>
    <w:p>
      <w:pPr>
        <w:suppressAutoHyphens w:val="0"/>
        <w:autoSpaceDN/>
        <w:jc w:val="center"/>
        <w:textAlignment w:val="auto"/>
        <w:rPr>
          <w:b/>
          <w:sz w:val="28"/>
          <w:szCs w:val="28"/>
        </w:rPr>
      </w:pPr>
      <w:r>
        <w:rPr>
          <w:b/>
          <w:sz w:val="28"/>
          <w:szCs w:val="28"/>
        </w:rPr>
        <w:t>Волгоградской области</w:t>
      </w:r>
    </w:p>
    <w:p>
      <w:pPr>
        <w:suppressAutoHyphens w:val="0"/>
        <w:autoSpaceDN/>
        <w:jc w:val="center"/>
        <w:textAlignment w:val="auto"/>
        <w:rPr>
          <w:sz w:val="28"/>
          <w:szCs w:val="28"/>
        </w:rPr>
      </w:pPr>
    </w:p>
    <w:p>
      <w:pPr>
        <w:suppressAutoHyphens w:val="0"/>
        <w:autoSpaceDN/>
        <w:jc w:val="center"/>
        <w:textAlignment w:val="auto"/>
        <w:rPr>
          <w:sz w:val="28"/>
          <w:szCs w:val="28"/>
        </w:rPr>
      </w:pPr>
    </w:p>
    <w:p>
      <w:pPr>
        <w:suppressAutoHyphens w:val="0"/>
        <w:autoSpaceDN/>
        <w:ind w:firstLine="567"/>
        <w:jc w:val="center"/>
        <w:textAlignment w:val="auto"/>
        <w:rPr>
          <w:b/>
          <w:sz w:val="28"/>
          <w:szCs w:val="28"/>
        </w:rPr>
      </w:pPr>
      <w:r>
        <w:rPr>
          <w:b/>
          <w:sz w:val="28"/>
          <w:szCs w:val="28"/>
        </w:rPr>
        <w:t>Введение</w:t>
      </w:r>
    </w:p>
    <w:p>
      <w:pPr>
        <w:jc w:val="both"/>
        <w:rPr>
          <w:sz w:val="28"/>
          <w:szCs w:val="28"/>
        </w:rPr>
      </w:pPr>
      <w:r>
        <w:rPr>
          <w:sz w:val="28"/>
          <w:szCs w:val="28"/>
        </w:rPr>
        <w:t xml:space="preserve">     Основанием  для разработки схемы теплоснабжения Тормосиновского сельского поселения Чернышковского муниципального района Волгоградской области является:</w:t>
      </w:r>
    </w:p>
    <w:p>
      <w:pPr>
        <w:jc w:val="both"/>
        <w:rPr>
          <w:sz w:val="28"/>
          <w:szCs w:val="28"/>
        </w:rPr>
      </w:pPr>
      <w:r>
        <w:rPr>
          <w:sz w:val="28"/>
          <w:szCs w:val="28"/>
        </w:rPr>
        <w:t>- Федеральный закон от 27.07.2010 года № 190 -ФЗ «О  теплоснабжении»;</w:t>
      </w:r>
    </w:p>
    <w:p>
      <w:pPr>
        <w:jc w:val="both"/>
        <w:rPr>
          <w:sz w:val="28"/>
          <w:szCs w:val="28"/>
        </w:rPr>
      </w:pPr>
      <w:r>
        <w:rPr>
          <w:sz w:val="28"/>
          <w:szCs w:val="28"/>
        </w:rPr>
        <w:t>- Постановление  Правительства РФ от 22 Февраля 2012 г. N 154 «О требованиях к схемам теплоснабжения, порядку их разработки и утверждения»;</w:t>
      </w:r>
    </w:p>
    <w:p>
      <w:pPr>
        <w:jc w:val="both"/>
        <w:rPr>
          <w:sz w:val="28"/>
          <w:szCs w:val="28"/>
        </w:rPr>
      </w:pPr>
      <w:r>
        <w:rPr>
          <w:sz w:val="28"/>
          <w:szCs w:val="28"/>
        </w:rPr>
        <w:t>-Федеральный закон от 23.11.2009 г. N 261-ФЗ «Об энергосбережении и о повышении энергетической эффективности и о внесении изменений в отдельные законодательные акты Российской Федерации» ;</w:t>
      </w:r>
    </w:p>
    <w:p>
      <w:pPr>
        <w:jc w:val="both"/>
        <w:rPr>
          <w:sz w:val="28"/>
          <w:szCs w:val="28"/>
        </w:rPr>
      </w:pPr>
      <w:r>
        <w:rPr>
          <w:sz w:val="28"/>
          <w:szCs w:val="28"/>
        </w:rPr>
        <w:t>- Программа комплексного развития систем коммунальной инфраструктуры Тормосиновского сельского поселения;</w:t>
      </w:r>
    </w:p>
    <w:p>
      <w:pPr>
        <w:jc w:val="both"/>
        <w:rPr>
          <w:sz w:val="28"/>
          <w:szCs w:val="28"/>
        </w:rPr>
      </w:pPr>
      <w:r>
        <w:rPr>
          <w:sz w:val="28"/>
          <w:szCs w:val="28"/>
        </w:rPr>
        <w:t>- Генеральный план Тормосиновского сельского поселения.</w:t>
      </w:r>
    </w:p>
    <w:p>
      <w:pPr>
        <w:pStyle w:val="30"/>
        <w:ind w:firstLine="567"/>
        <w:rPr>
          <w:bCs/>
          <w:sz w:val="28"/>
          <w:szCs w:val="28"/>
        </w:rPr>
      </w:pPr>
    </w:p>
    <w:p>
      <w:pPr>
        <w:pStyle w:val="30"/>
        <w:ind w:firstLine="567"/>
        <w:jc w:val="both"/>
        <w:rPr>
          <w:bCs/>
          <w:sz w:val="28"/>
          <w:szCs w:val="28"/>
        </w:rPr>
      </w:pPr>
    </w:p>
    <w:p>
      <w:pPr>
        <w:pStyle w:val="30"/>
        <w:ind w:firstLine="567"/>
        <w:jc w:val="both"/>
        <w:rPr>
          <w:bCs/>
          <w:sz w:val="28"/>
          <w:szCs w:val="28"/>
        </w:rPr>
      </w:pPr>
    </w:p>
    <w:p>
      <w:pPr>
        <w:pStyle w:val="30"/>
        <w:ind w:firstLine="567"/>
        <w:jc w:val="both"/>
        <w:rPr>
          <w:sz w:val="28"/>
          <w:szCs w:val="28"/>
        </w:rPr>
      </w:pPr>
      <w:r>
        <w:rPr>
          <w:b/>
          <w:bCs/>
          <w:sz w:val="28"/>
          <w:szCs w:val="28"/>
        </w:rPr>
        <w:t>Раздел 1   Показатели перспективного спроса на тепловую энергию (мощность) и теплоноситель в установленных границах  х.Тормосин, Тормосиновского сельского поселения, Чернышковского муниципального района Волгоградская область.</w:t>
      </w:r>
    </w:p>
    <w:p>
      <w:pPr>
        <w:pStyle w:val="30"/>
        <w:ind w:firstLine="567"/>
        <w:jc w:val="center"/>
        <w:rPr>
          <w:b/>
          <w:bCs/>
          <w:sz w:val="28"/>
          <w:szCs w:val="28"/>
        </w:rPr>
      </w:pPr>
    </w:p>
    <w:p>
      <w:pPr>
        <w:pStyle w:val="30"/>
        <w:ind w:firstLine="567"/>
        <w:jc w:val="center"/>
        <w:rPr>
          <w:b/>
          <w:bCs/>
          <w:i/>
          <w:sz w:val="28"/>
          <w:szCs w:val="28"/>
        </w:rPr>
      </w:pPr>
      <w:r>
        <w:rPr>
          <w:b/>
          <w:bCs/>
          <w:i/>
          <w:sz w:val="28"/>
          <w:szCs w:val="28"/>
        </w:rPr>
        <w:t>Глава 1.1.Существующее положение в сфере производства, передачи и потребления тепловой энергии для целей теплоснабжения</w:t>
      </w:r>
    </w:p>
    <w:p>
      <w:pPr>
        <w:shd w:val="clear" w:color="auto" w:fill="FFFFFF"/>
        <w:suppressAutoHyphens w:val="0"/>
        <w:autoSpaceDN/>
        <w:ind w:firstLine="567"/>
        <w:jc w:val="both"/>
        <w:textAlignment w:val="auto"/>
        <w:rPr>
          <w:b/>
          <w:color w:val="000000"/>
          <w:sz w:val="28"/>
          <w:szCs w:val="28"/>
        </w:rPr>
      </w:pPr>
    </w:p>
    <w:p>
      <w:pPr>
        <w:shd w:val="clear" w:color="auto" w:fill="FFFFFF"/>
        <w:suppressAutoHyphens w:val="0"/>
        <w:autoSpaceDN/>
        <w:ind w:firstLine="567"/>
        <w:jc w:val="both"/>
        <w:textAlignment w:val="auto"/>
        <w:rPr>
          <w:color w:val="000000"/>
          <w:sz w:val="28"/>
          <w:szCs w:val="28"/>
        </w:rPr>
      </w:pPr>
      <w:r>
        <w:rPr>
          <w:color w:val="000000"/>
          <w:sz w:val="28"/>
          <w:szCs w:val="28"/>
        </w:rPr>
        <w:t xml:space="preserve">Административным центром Тормосиновское сельское поселение является хутор Тормосин. Границы территории Тормосиновского сельского поселения установлены Законом Волгоградской области от 22 декабря 2004 года № 976 - ОД «Об установлении границ и наделении статусом Чернышковского района и муниципальных образований в его составе». </w:t>
      </w:r>
    </w:p>
    <w:p>
      <w:pPr>
        <w:shd w:val="clear" w:color="auto" w:fill="FFFFFF"/>
        <w:suppressAutoHyphens w:val="0"/>
        <w:autoSpaceDN/>
        <w:ind w:firstLine="567"/>
        <w:jc w:val="both"/>
        <w:textAlignment w:val="auto"/>
        <w:rPr>
          <w:color w:val="000000"/>
          <w:sz w:val="28"/>
          <w:szCs w:val="28"/>
        </w:rPr>
      </w:pPr>
      <w:r>
        <w:rPr>
          <w:color w:val="000000"/>
          <w:sz w:val="28"/>
          <w:szCs w:val="28"/>
        </w:rPr>
        <w:t xml:space="preserve">Экономический потенциал территории – сельскохозяйственный. Приоритетным направлением в настоящее время является растениеводство. </w:t>
      </w:r>
    </w:p>
    <w:p>
      <w:pPr>
        <w:shd w:val="clear" w:color="auto" w:fill="FFFFFF"/>
        <w:suppressAutoHyphens w:val="0"/>
        <w:autoSpaceDN/>
        <w:ind w:firstLine="567"/>
        <w:jc w:val="both"/>
        <w:textAlignment w:val="auto"/>
        <w:rPr>
          <w:color w:val="000000"/>
          <w:sz w:val="28"/>
          <w:szCs w:val="28"/>
        </w:rPr>
      </w:pPr>
      <w:r>
        <w:rPr>
          <w:color w:val="000000"/>
          <w:sz w:val="28"/>
          <w:szCs w:val="28"/>
        </w:rPr>
        <w:t xml:space="preserve">В состав Тормосиновского сельского поселения входят шесть населенных пунктов: </w:t>
      </w:r>
    </w:p>
    <w:p>
      <w:pPr>
        <w:shd w:val="clear" w:color="auto" w:fill="FFFFFF"/>
        <w:suppressAutoHyphens w:val="0"/>
        <w:autoSpaceDN/>
        <w:ind w:firstLine="567"/>
        <w:jc w:val="both"/>
        <w:textAlignment w:val="auto"/>
        <w:rPr>
          <w:color w:val="000000"/>
          <w:sz w:val="28"/>
          <w:szCs w:val="28"/>
        </w:rPr>
      </w:pPr>
      <w:r>
        <w:rPr>
          <w:color w:val="000000"/>
          <w:sz w:val="28"/>
          <w:szCs w:val="28"/>
        </w:rPr>
        <w:t xml:space="preserve">- х. Тормосин (территория – 270 га, население – 1406 человек); </w:t>
      </w:r>
    </w:p>
    <w:p>
      <w:pPr>
        <w:shd w:val="clear" w:color="auto" w:fill="FFFFFF"/>
        <w:suppressAutoHyphens w:val="0"/>
        <w:autoSpaceDN/>
        <w:ind w:firstLine="567"/>
        <w:jc w:val="both"/>
        <w:textAlignment w:val="auto"/>
        <w:rPr>
          <w:color w:val="000000"/>
          <w:sz w:val="28"/>
          <w:szCs w:val="28"/>
        </w:rPr>
      </w:pPr>
      <w:r>
        <w:rPr>
          <w:color w:val="000000"/>
          <w:sz w:val="28"/>
          <w:szCs w:val="28"/>
        </w:rPr>
        <w:t xml:space="preserve">- х. Морской, (расстояние от центра поселения – 18 км, население – 282 человека); </w:t>
      </w:r>
    </w:p>
    <w:p>
      <w:pPr>
        <w:shd w:val="clear" w:color="auto" w:fill="FFFFFF"/>
        <w:suppressAutoHyphens w:val="0"/>
        <w:autoSpaceDN/>
        <w:ind w:firstLine="567"/>
        <w:jc w:val="both"/>
        <w:textAlignment w:val="auto"/>
        <w:rPr>
          <w:color w:val="000000"/>
          <w:sz w:val="28"/>
          <w:szCs w:val="28"/>
        </w:rPr>
      </w:pPr>
      <w:r>
        <w:rPr>
          <w:color w:val="000000"/>
          <w:sz w:val="28"/>
          <w:szCs w:val="28"/>
        </w:rPr>
        <w:t xml:space="preserve">- х Комаров, (расстояние от центра поселения – 40,6 км, население – 35 человек); </w:t>
      </w:r>
    </w:p>
    <w:p>
      <w:pPr>
        <w:shd w:val="clear" w:color="auto" w:fill="FFFFFF"/>
        <w:suppressAutoHyphens w:val="0"/>
        <w:autoSpaceDN/>
        <w:ind w:firstLine="567"/>
        <w:jc w:val="both"/>
        <w:textAlignment w:val="auto"/>
        <w:rPr>
          <w:color w:val="000000"/>
          <w:sz w:val="28"/>
          <w:szCs w:val="28"/>
        </w:rPr>
      </w:pPr>
      <w:r>
        <w:rPr>
          <w:color w:val="000000"/>
          <w:sz w:val="28"/>
          <w:szCs w:val="28"/>
        </w:rPr>
        <w:t xml:space="preserve">- х Минаев, (расстояние от центра поселения – 34, 2 км, население – 7 человек); </w:t>
      </w:r>
    </w:p>
    <w:p>
      <w:pPr>
        <w:shd w:val="clear" w:color="auto" w:fill="FFFFFF"/>
        <w:suppressAutoHyphens w:val="0"/>
        <w:autoSpaceDN/>
        <w:ind w:firstLine="567"/>
        <w:jc w:val="both"/>
        <w:textAlignment w:val="auto"/>
        <w:rPr>
          <w:color w:val="000000"/>
          <w:sz w:val="28"/>
          <w:szCs w:val="28"/>
        </w:rPr>
      </w:pPr>
      <w:r>
        <w:rPr>
          <w:color w:val="000000"/>
          <w:sz w:val="28"/>
          <w:szCs w:val="28"/>
        </w:rPr>
        <w:t xml:space="preserve">- х Семенов, ( расстояние от центра поселения –35,9 км, население – 5 человек); </w:t>
      </w:r>
    </w:p>
    <w:p>
      <w:pPr>
        <w:shd w:val="clear" w:color="auto" w:fill="FFFFFF"/>
        <w:suppressAutoHyphens w:val="0"/>
        <w:autoSpaceDN/>
        <w:ind w:firstLine="567"/>
        <w:jc w:val="both"/>
        <w:textAlignment w:val="auto"/>
        <w:rPr>
          <w:color w:val="000000"/>
          <w:sz w:val="28"/>
          <w:szCs w:val="28"/>
        </w:rPr>
      </w:pPr>
      <w:r>
        <w:rPr>
          <w:color w:val="000000"/>
          <w:sz w:val="28"/>
          <w:szCs w:val="28"/>
        </w:rPr>
        <w:t xml:space="preserve">- Акользин, (расстояние от центра поселения – 2 км, население – 0 человек); </w:t>
      </w:r>
    </w:p>
    <w:p>
      <w:pPr>
        <w:shd w:val="clear" w:color="auto" w:fill="FFFFFF"/>
        <w:suppressAutoHyphens w:val="0"/>
        <w:autoSpaceDN/>
        <w:ind w:firstLine="567"/>
        <w:jc w:val="both"/>
        <w:textAlignment w:val="auto"/>
        <w:rPr>
          <w:color w:val="000000"/>
          <w:sz w:val="28"/>
          <w:szCs w:val="28"/>
        </w:rPr>
      </w:pPr>
      <w:r>
        <w:rPr>
          <w:color w:val="000000"/>
          <w:sz w:val="28"/>
          <w:szCs w:val="28"/>
        </w:rPr>
        <w:t xml:space="preserve">Тормосиновское сельское поселение граничит с Захаровским, Алёшкин-ским, Сизовским, Нижнегнутовским сельскими поселениями, с восточной его стороны находится Цимлянское водохранилище. </w:t>
      </w:r>
    </w:p>
    <w:p>
      <w:pPr>
        <w:shd w:val="clear" w:color="auto" w:fill="FFFFFF"/>
        <w:suppressAutoHyphens w:val="0"/>
        <w:autoSpaceDN/>
        <w:ind w:firstLine="567"/>
        <w:jc w:val="both"/>
        <w:textAlignment w:val="auto"/>
        <w:rPr>
          <w:color w:val="000000"/>
          <w:sz w:val="28"/>
          <w:szCs w:val="28"/>
        </w:rPr>
      </w:pPr>
      <w:r>
        <w:rPr>
          <w:color w:val="000000"/>
          <w:sz w:val="28"/>
          <w:szCs w:val="28"/>
        </w:rPr>
        <w:t>Поселение занимает территорию площадью 95446,94 га  на которой проживает 1391 человек.</w:t>
      </w:r>
    </w:p>
    <w:p>
      <w:pPr>
        <w:shd w:val="clear" w:color="auto" w:fill="FFFFFF"/>
        <w:suppressAutoHyphens w:val="0"/>
        <w:autoSpaceDN/>
        <w:ind w:firstLine="567"/>
        <w:jc w:val="both"/>
        <w:textAlignment w:val="auto"/>
        <w:rPr>
          <w:color w:val="000000"/>
          <w:sz w:val="28"/>
          <w:szCs w:val="28"/>
        </w:rPr>
      </w:pPr>
      <w:r>
        <w:rPr>
          <w:bCs/>
          <w:iCs/>
          <w:sz w:val="28"/>
          <w:szCs w:val="28"/>
        </w:rPr>
        <w:t xml:space="preserve">    </w:t>
      </w:r>
      <w:r>
        <w:rPr>
          <w:color w:val="000000"/>
          <w:sz w:val="28"/>
          <w:szCs w:val="28"/>
        </w:rPr>
        <w:t>Климат Чернышковского муниципального района засушливый, с резко выраженной континентальностью. Характерным признаком континентальности климата района является возврат холодов весной и раннее появление их осенью.</w:t>
      </w:r>
    </w:p>
    <w:p>
      <w:pPr>
        <w:shd w:val="clear" w:color="auto" w:fill="FFFFFF"/>
        <w:suppressAutoHyphens w:val="0"/>
        <w:autoSpaceDN/>
        <w:ind w:firstLine="567"/>
        <w:jc w:val="both"/>
        <w:textAlignment w:val="auto"/>
        <w:rPr>
          <w:color w:val="000000"/>
          <w:sz w:val="28"/>
          <w:szCs w:val="28"/>
        </w:rPr>
      </w:pPr>
      <w:r>
        <w:rPr>
          <w:color w:val="000000"/>
          <w:sz w:val="28"/>
          <w:szCs w:val="28"/>
        </w:rPr>
        <w:t xml:space="preserve">Лето жаркое, сухое, пыльное. Наиболее жаркие месяцы июль, август. Среднеиюльская температура  воздуха 23,5 градуса. Абсолютный максимум температур 40-43 градуса.  В районе часто повторяются засухи и суховеи продолжительностью 30-35 дней в году. Господствует западный и северо-западный ветры, максимальная скорость 8,5 м/сек, минимальная -4,6 м /сек. </w:t>
      </w:r>
    </w:p>
    <w:p>
      <w:pPr>
        <w:shd w:val="clear" w:color="auto" w:fill="FFFFFF"/>
        <w:suppressAutoHyphens w:val="0"/>
        <w:autoSpaceDN/>
        <w:ind w:firstLine="567"/>
        <w:jc w:val="both"/>
        <w:textAlignment w:val="auto"/>
        <w:rPr>
          <w:color w:val="000000"/>
          <w:sz w:val="28"/>
          <w:szCs w:val="28"/>
        </w:rPr>
      </w:pPr>
      <w:r>
        <w:rPr>
          <w:color w:val="000000"/>
          <w:sz w:val="28"/>
          <w:szCs w:val="28"/>
        </w:rPr>
        <w:t>Климатическая характеристика района строительства согласно СНиП 2.01.01-2001 «Строительная климатология и геофизика»:</w:t>
      </w:r>
    </w:p>
    <w:p>
      <w:pPr>
        <w:shd w:val="clear" w:color="auto" w:fill="FFFFFF"/>
        <w:suppressAutoHyphens w:val="0"/>
        <w:autoSpaceDN/>
        <w:ind w:firstLine="567"/>
        <w:jc w:val="both"/>
        <w:textAlignment w:val="auto"/>
        <w:rPr>
          <w:color w:val="000000"/>
          <w:sz w:val="28"/>
          <w:szCs w:val="28"/>
        </w:rPr>
      </w:pPr>
      <w:r>
        <w:rPr>
          <w:color w:val="000000"/>
          <w:sz w:val="28"/>
          <w:szCs w:val="28"/>
        </w:rPr>
        <w:t>•</w:t>
      </w:r>
      <w:r>
        <w:rPr>
          <w:color w:val="000000"/>
          <w:sz w:val="28"/>
          <w:szCs w:val="28"/>
        </w:rPr>
        <w:tab/>
      </w:r>
      <w:r>
        <w:rPr>
          <w:color w:val="000000"/>
          <w:sz w:val="28"/>
          <w:szCs w:val="28"/>
        </w:rPr>
        <w:t>Климатическая зона - III-в ;</w:t>
      </w:r>
    </w:p>
    <w:p>
      <w:pPr>
        <w:shd w:val="clear" w:color="auto" w:fill="FFFFFF"/>
        <w:suppressAutoHyphens w:val="0"/>
        <w:autoSpaceDN/>
        <w:ind w:firstLine="567"/>
        <w:jc w:val="both"/>
        <w:textAlignment w:val="auto"/>
        <w:rPr>
          <w:color w:val="000000"/>
          <w:sz w:val="28"/>
          <w:szCs w:val="28"/>
        </w:rPr>
      </w:pPr>
      <w:r>
        <w:rPr>
          <w:color w:val="000000"/>
          <w:sz w:val="28"/>
          <w:szCs w:val="28"/>
        </w:rPr>
        <w:t>•</w:t>
      </w:r>
      <w:r>
        <w:rPr>
          <w:color w:val="000000"/>
          <w:sz w:val="28"/>
          <w:szCs w:val="28"/>
        </w:rPr>
        <w:tab/>
      </w:r>
      <w:r>
        <w:rPr>
          <w:color w:val="000000"/>
          <w:sz w:val="28"/>
          <w:szCs w:val="28"/>
        </w:rPr>
        <w:t>Средняя температура наиболее холодных суток - -30  0С;</w:t>
      </w:r>
    </w:p>
    <w:p>
      <w:pPr>
        <w:shd w:val="clear" w:color="auto" w:fill="FFFFFF"/>
        <w:suppressAutoHyphens w:val="0"/>
        <w:autoSpaceDN/>
        <w:ind w:firstLine="567"/>
        <w:jc w:val="both"/>
        <w:textAlignment w:val="auto"/>
        <w:rPr>
          <w:color w:val="000000"/>
          <w:sz w:val="28"/>
          <w:szCs w:val="28"/>
        </w:rPr>
      </w:pPr>
      <w:r>
        <w:rPr>
          <w:color w:val="000000"/>
          <w:sz w:val="28"/>
          <w:szCs w:val="28"/>
        </w:rPr>
        <w:t>•</w:t>
      </w:r>
      <w:r>
        <w:rPr>
          <w:color w:val="000000"/>
          <w:sz w:val="28"/>
          <w:szCs w:val="28"/>
        </w:rPr>
        <w:tab/>
      </w:r>
      <w:r>
        <w:rPr>
          <w:color w:val="000000"/>
          <w:sz w:val="28"/>
          <w:szCs w:val="28"/>
        </w:rPr>
        <w:t>Средняя температура наиболее холодной пятидневки - -25  0С;</w:t>
      </w:r>
    </w:p>
    <w:p>
      <w:pPr>
        <w:shd w:val="clear" w:color="auto" w:fill="FFFFFF"/>
        <w:suppressAutoHyphens w:val="0"/>
        <w:autoSpaceDN/>
        <w:ind w:firstLine="567"/>
        <w:jc w:val="both"/>
        <w:textAlignment w:val="auto"/>
        <w:rPr>
          <w:color w:val="000000"/>
          <w:sz w:val="28"/>
          <w:szCs w:val="28"/>
        </w:rPr>
      </w:pPr>
      <w:r>
        <w:rPr>
          <w:color w:val="000000"/>
          <w:sz w:val="28"/>
          <w:szCs w:val="28"/>
        </w:rPr>
        <w:t>•</w:t>
      </w:r>
      <w:r>
        <w:rPr>
          <w:color w:val="000000"/>
          <w:sz w:val="28"/>
          <w:szCs w:val="28"/>
        </w:rPr>
        <w:tab/>
      </w:r>
      <w:r>
        <w:rPr>
          <w:color w:val="000000"/>
          <w:sz w:val="28"/>
          <w:szCs w:val="28"/>
        </w:rPr>
        <w:t>Нормативная толщина промерзания грунтов  – -1,2 м;</w:t>
      </w:r>
    </w:p>
    <w:p>
      <w:pPr>
        <w:shd w:val="clear" w:color="auto" w:fill="FFFFFF"/>
        <w:suppressAutoHyphens w:val="0"/>
        <w:autoSpaceDN/>
        <w:ind w:firstLine="567"/>
        <w:jc w:val="both"/>
        <w:textAlignment w:val="auto"/>
        <w:rPr>
          <w:color w:val="000000"/>
          <w:sz w:val="28"/>
          <w:szCs w:val="28"/>
        </w:rPr>
      </w:pPr>
      <w:r>
        <w:rPr>
          <w:color w:val="000000"/>
          <w:sz w:val="28"/>
          <w:szCs w:val="28"/>
        </w:rPr>
        <w:t>•</w:t>
      </w:r>
      <w:r>
        <w:rPr>
          <w:color w:val="000000"/>
          <w:sz w:val="28"/>
          <w:szCs w:val="28"/>
        </w:rPr>
        <w:tab/>
      </w:r>
      <w:r>
        <w:rPr>
          <w:color w:val="000000"/>
          <w:sz w:val="28"/>
          <w:szCs w:val="28"/>
        </w:rPr>
        <w:t>Преобладающее направление ветра: северо-восточное и северо-западное.</w:t>
      </w:r>
    </w:p>
    <w:p>
      <w:pPr>
        <w:shd w:val="clear" w:color="auto" w:fill="FFFFFF"/>
        <w:suppressAutoHyphens w:val="0"/>
        <w:autoSpaceDN/>
        <w:ind w:firstLine="567"/>
        <w:jc w:val="both"/>
        <w:textAlignment w:val="auto"/>
        <w:rPr>
          <w:color w:val="000000"/>
          <w:sz w:val="28"/>
          <w:szCs w:val="28"/>
        </w:rPr>
      </w:pPr>
      <w:r>
        <w:rPr>
          <w:color w:val="000000"/>
          <w:sz w:val="28"/>
          <w:szCs w:val="28"/>
        </w:rPr>
        <w:t>В соответствии со СНиП 2.01.07-85 «Нагрузка и воздействия», данной пло-щадке соответствуют следующие характеристики:</w:t>
      </w:r>
    </w:p>
    <w:p>
      <w:pPr>
        <w:shd w:val="clear" w:color="auto" w:fill="FFFFFF"/>
        <w:suppressAutoHyphens w:val="0"/>
        <w:autoSpaceDN/>
        <w:ind w:firstLine="567"/>
        <w:jc w:val="both"/>
        <w:textAlignment w:val="auto"/>
        <w:rPr>
          <w:color w:val="000000"/>
          <w:sz w:val="28"/>
          <w:szCs w:val="28"/>
        </w:rPr>
      </w:pPr>
      <w:r>
        <w:rPr>
          <w:color w:val="000000"/>
          <w:sz w:val="28"/>
          <w:szCs w:val="28"/>
        </w:rPr>
        <w:t>•</w:t>
      </w:r>
      <w:r>
        <w:rPr>
          <w:color w:val="000000"/>
          <w:sz w:val="28"/>
          <w:szCs w:val="28"/>
        </w:rPr>
        <w:tab/>
      </w:r>
      <w:r>
        <w:rPr>
          <w:color w:val="000000"/>
          <w:sz w:val="28"/>
          <w:szCs w:val="28"/>
        </w:rPr>
        <w:t>Скоростной напор ветра принят 0,38 Кпа для III района;</w:t>
      </w:r>
    </w:p>
    <w:p>
      <w:pPr>
        <w:shd w:val="clear" w:color="auto" w:fill="FFFFFF"/>
        <w:suppressAutoHyphens w:val="0"/>
        <w:autoSpaceDN/>
        <w:ind w:firstLine="567"/>
        <w:jc w:val="both"/>
        <w:textAlignment w:val="auto"/>
        <w:rPr>
          <w:color w:val="000000"/>
          <w:sz w:val="28"/>
          <w:szCs w:val="28"/>
        </w:rPr>
      </w:pPr>
      <w:r>
        <w:rPr>
          <w:color w:val="000000"/>
          <w:sz w:val="28"/>
          <w:szCs w:val="28"/>
        </w:rPr>
        <w:t>•</w:t>
      </w:r>
      <w:r>
        <w:rPr>
          <w:color w:val="000000"/>
          <w:sz w:val="28"/>
          <w:szCs w:val="28"/>
        </w:rPr>
        <w:tab/>
      </w:r>
      <w:r>
        <w:rPr>
          <w:color w:val="000000"/>
          <w:sz w:val="28"/>
          <w:szCs w:val="28"/>
        </w:rPr>
        <w:t>Снеговая нагрузка – 84 кг/м2  для II района;</w:t>
      </w:r>
    </w:p>
    <w:p>
      <w:pPr>
        <w:shd w:val="clear" w:color="auto" w:fill="FFFFFF"/>
        <w:suppressAutoHyphens w:val="0"/>
        <w:autoSpaceDN/>
        <w:ind w:firstLine="567"/>
        <w:jc w:val="both"/>
        <w:textAlignment w:val="auto"/>
        <w:rPr>
          <w:color w:val="000000"/>
          <w:sz w:val="28"/>
          <w:szCs w:val="28"/>
        </w:rPr>
      </w:pPr>
      <w:r>
        <w:rPr>
          <w:color w:val="000000"/>
          <w:sz w:val="28"/>
          <w:szCs w:val="28"/>
        </w:rPr>
        <w:t>•</w:t>
      </w:r>
      <w:r>
        <w:rPr>
          <w:color w:val="000000"/>
          <w:sz w:val="28"/>
          <w:szCs w:val="28"/>
        </w:rPr>
        <w:tab/>
      </w:r>
      <w:r>
        <w:rPr>
          <w:color w:val="000000"/>
          <w:sz w:val="28"/>
          <w:szCs w:val="28"/>
        </w:rPr>
        <w:t>Расчетная снеговая нагрузка – 120 кг/м2.</w:t>
      </w:r>
    </w:p>
    <w:p>
      <w:pPr>
        <w:shd w:val="clear" w:color="auto" w:fill="FFFFFF"/>
        <w:suppressAutoHyphens w:val="0"/>
        <w:autoSpaceDN/>
        <w:ind w:firstLine="567"/>
        <w:jc w:val="both"/>
        <w:textAlignment w:val="auto"/>
        <w:rPr>
          <w:color w:val="000000"/>
          <w:sz w:val="28"/>
          <w:szCs w:val="28"/>
        </w:rPr>
      </w:pPr>
    </w:p>
    <w:p>
      <w:pPr>
        <w:shd w:val="clear" w:color="auto" w:fill="FFFFFF"/>
        <w:suppressAutoHyphens w:val="0"/>
        <w:autoSpaceDN/>
        <w:ind w:firstLine="567"/>
        <w:jc w:val="both"/>
        <w:textAlignment w:val="auto"/>
        <w:rPr>
          <w:color w:val="000000"/>
          <w:sz w:val="28"/>
          <w:szCs w:val="28"/>
        </w:rPr>
      </w:pPr>
      <w:r>
        <w:rPr>
          <w:color w:val="000000"/>
          <w:sz w:val="28"/>
          <w:szCs w:val="28"/>
        </w:rPr>
        <w:t>Годовое количество осадков составляет свыше 340мм, это связано с влиянием Азово-Черноморского водного бассейна.</w:t>
      </w:r>
    </w:p>
    <w:p>
      <w:pPr>
        <w:shd w:val="clear" w:color="auto" w:fill="FFFFFF"/>
        <w:suppressAutoHyphens w:val="0"/>
        <w:autoSpaceDN/>
        <w:ind w:firstLine="567"/>
        <w:jc w:val="both"/>
        <w:textAlignment w:val="auto"/>
        <w:rPr>
          <w:color w:val="000000"/>
          <w:sz w:val="28"/>
          <w:szCs w:val="28"/>
        </w:rPr>
      </w:pPr>
      <w:r>
        <w:rPr>
          <w:color w:val="000000"/>
          <w:sz w:val="28"/>
          <w:szCs w:val="28"/>
        </w:rPr>
        <w:t xml:space="preserve">Климатические условия планировочных ограничений не вызывают, но требуют при строительстве необходимых теплотехнических мероприятий. </w:t>
      </w:r>
    </w:p>
    <w:p>
      <w:pPr>
        <w:suppressAutoHyphens w:val="0"/>
        <w:autoSpaceDE w:val="0"/>
        <w:adjustRightInd w:val="0"/>
        <w:jc w:val="both"/>
        <w:textAlignment w:val="auto"/>
        <w:rPr>
          <w:bCs/>
          <w:iCs/>
          <w:sz w:val="28"/>
          <w:szCs w:val="28"/>
        </w:rPr>
      </w:pPr>
    </w:p>
    <w:p>
      <w:pPr>
        <w:suppressAutoHyphens w:val="0"/>
        <w:autoSpaceDE w:val="0"/>
        <w:adjustRightInd w:val="0"/>
        <w:jc w:val="both"/>
        <w:textAlignment w:val="auto"/>
        <w:rPr>
          <w:bCs/>
          <w:iCs/>
          <w:sz w:val="28"/>
          <w:szCs w:val="28"/>
        </w:rPr>
      </w:pPr>
      <w:r>
        <w:rPr>
          <w:bCs/>
          <w:iCs/>
          <w:sz w:val="28"/>
          <w:szCs w:val="28"/>
        </w:rPr>
        <w:t xml:space="preserve">  В х.Тормосин в настоящее время работает 3 котельные, из которых 2 на жидком топливе и 1 на твердом топливе. Централизованное отопление х.Тормосин осуществляется от одной котельной (котельная №2 на жидком топливе). Две котельные являются автономными и предназначены для отопления  МКОУ «Тормосиновская СОШ» (котельная №1 на жидком топливе) и ГОУ «Тормосиновская школа-интернат для детей-сирот и детей, оставшихся без попечения родителей» (котельная на твердом топливе).  Износ котельного оборудования составляет 67%, что приводит к повышенному расходу топлива и электроэнергии. Уровень износа тепловых сетей в среднем составляет 60%. </w:t>
      </w:r>
    </w:p>
    <w:p>
      <w:pPr>
        <w:suppressAutoHyphens w:val="0"/>
        <w:autoSpaceDE w:val="0"/>
        <w:adjustRightInd w:val="0"/>
        <w:jc w:val="both"/>
        <w:textAlignment w:val="auto"/>
        <w:rPr>
          <w:bCs/>
          <w:iCs/>
          <w:sz w:val="28"/>
          <w:szCs w:val="28"/>
        </w:rPr>
      </w:pPr>
      <w:r>
        <w:rPr>
          <w:bCs/>
          <w:iCs/>
          <w:sz w:val="28"/>
          <w:szCs w:val="28"/>
        </w:rPr>
        <w:t>Структура тепловой сети– двухтрубная открытая без ЦТП не содержащих подготовительных установок горячего водоснабжения (ГВС).</w:t>
      </w:r>
    </w:p>
    <w:p>
      <w:pPr>
        <w:suppressAutoHyphens w:val="0"/>
        <w:autoSpaceDE w:val="0"/>
        <w:adjustRightInd w:val="0"/>
        <w:jc w:val="both"/>
        <w:textAlignment w:val="auto"/>
        <w:rPr>
          <w:bCs/>
          <w:iCs/>
          <w:sz w:val="28"/>
          <w:szCs w:val="28"/>
        </w:rPr>
      </w:pPr>
      <w:r>
        <w:rPr>
          <w:bCs/>
          <w:iCs/>
          <w:sz w:val="28"/>
          <w:szCs w:val="28"/>
        </w:rPr>
        <w:t xml:space="preserve">Общая протяженность действующих тепловых сетей х.Тормосин составляет 0,364 км в том числе: </w:t>
      </w:r>
    </w:p>
    <w:p>
      <w:pPr>
        <w:suppressAutoHyphens w:val="0"/>
        <w:autoSpaceDE w:val="0"/>
        <w:adjustRightInd w:val="0"/>
        <w:jc w:val="both"/>
        <w:textAlignment w:val="auto"/>
        <w:rPr>
          <w:bCs/>
          <w:iCs/>
          <w:sz w:val="28"/>
          <w:szCs w:val="28"/>
        </w:rPr>
      </w:pPr>
      <w:r>
        <w:rPr>
          <w:bCs/>
          <w:iCs/>
          <w:sz w:val="28"/>
          <w:szCs w:val="28"/>
        </w:rPr>
        <w:t xml:space="preserve">- надземного исполнения –  0.270 км. </w:t>
      </w:r>
    </w:p>
    <w:p>
      <w:pPr>
        <w:suppressAutoHyphens w:val="0"/>
        <w:autoSpaceDE w:val="0"/>
        <w:adjustRightInd w:val="0"/>
        <w:jc w:val="both"/>
        <w:textAlignment w:val="auto"/>
        <w:rPr>
          <w:bCs/>
          <w:iCs/>
          <w:sz w:val="28"/>
          <w:szCs w:val="28"/>
        </w:rPr>
      </w:pPr>
      <w:r>
        <w:rPr>
          <w:bCs/>
          <w:iCs/>
          <w:sz w:val="28"/>
          <w:szCs w:val="28"/>
        </w:rPr>
        <w:t xml:space="preserve">- подземного исполнения –  0,094 км. </w:t>
      </w:r>
    </w:p>
    <w:p>
      <w:pPr>
        <w:suppressAutoHyphens w:val="0"/>
        <w:autoSpaceDE w:val="0"/>
        <w:adjustRightInd w:val="0"/>
        <w:jc w:val="both"/>
        <w:textAlignment w:val="auto"/>
        <w:rPr>
          <w:bCs/>
          <w:iCs/>
          <w:sz w:val="28"/>
          <w:szCs w:val="28"/>
        </w:rPr>
      </w:pPr>
      <w:r>
        <w:rPr>
          <w:bCs/>
          <w:iCs/>
          <w:sz w:val="28"/>
          <w:szCs w:val="28"/>
        </w:rPr>
        <w:t>74 % изоляции выполнена минераловатными матами со стеклотканью.</w:t>
      </w:r>
    </w:p>
    <w:p>
      <w:pPr>
        <w:suppressAutoHyphens w:val="0"/>
        <w:autoSpaceDE w:val="0"/>
        <w:adjustRightInd w:val="0"/>
        <w:jc w:val="both"/>
        <w:textAlignment w:val="auto"/>
        <w:rPr>
          <w:bCs/>
          <w:iCs/>
          <w:sz w:val="28"/>
          <w:szCs w:val="28"/>
        </w:rPr>
      </w:pPr>
    </w:p>
    <w:p>
      <w:pPr>
        <w:suppressAutoHyphens w:val="0"/>
        <w:autoSpaceDE w:val="0"/>
        <w:adjustRightInd w:val="0"/>
        <w:jc w:val="center"/>
        <w:textAlignment w:val="auto"/>
        <w:rPr>
          <w:bCs/>
          <w:i/>
          <w:iCs/>
          <w:sz w:val="28"/>
          <w:szCs w:val="28"/>
        </w:rPr>
      </w:pPr>
      <w:r>
        <w:rPr>
          <w:bCs/>
          <w:i/>
          <w:iCs/>
          <w:sz w:val="28"/>
          <w:szCs w:val="28"/>
        </w:rPr>
        <w:t>Источники  тепловой  энергии</w:t>
      </w:r>
    </w:p>
    <w:p>
      <w:pPr>
        <w:suppressAutoHyphens w:val="0"/>
        <w:autoSpaceDE w:val="0"/>
        <w:adjustRightInd w:val="0"/>
        <w:jc w:val="both"/>
        <w:textAlignment w:val="auto"/>
        <w:rPr>
          <w:bCs/>
          <w:iCs/>
          <w:sz w:val="28"/>
          <w:szCs w:val="28"/>
        </w:rPr>
      </w:pPr>
    </w:p>
    <w:tbl>
      <w:tblPr>
        <w:tblStyle w:val="29"/>
        <w:tblW w:w="1008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1843"/>
        <w:gridCol w:w="1134"/>
        <w:gridCol w:w="709"/>
        <w:gridCol w:w="1701"/>
        <w:gridCol w:w="1187"/>
        <w:gridCol w:w="850"/>
        <w:gridCol w:w="970"/>
        <w:gridCol w:w="10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75" w:type="dxa"/>
            <w:vMerge w:val="restart"/>
            <w:vAlign w:val="center"/>
          </w:tcPr>
          <w:p>
            <w:pPr>
              <w:suppressAutoHyphens w:val="0"/>
              <w:autoSpaceDE w:val="0"/>
              <w:adjustRightInd w:val="0"/>
              <w:jc w:val="center"/>
              <w:textAlignment w:val="auto"/>
              <w:rPr>
                <w:bCs/>
                <w:iCs/>
                <w:sz w:val="24"/>
                <w:szCs w:val="24"/>
              </w:rPr>
            </w:pPr>
            <w:r>
              <w:rPr>
                <w:bCs/>
                <w:iCs/>
                <w:sz w:val="24"/>
                <w:szCs w:val="24"/>
              </w:rPr>
              <w:t>№ п/п</w:t>
            </w:r>
          </w:p>
        </w:tc>
        <w:tc>
          <w:tcPr>
            <w:tcW w:w="1843" w:type="dxa"/>
            <w:vMerge w:val="restart"/>
            <w:vAlign w:val="center"/>
          </w:tcPr>
          <w:p>
            <w:pPr>
              <w:suppressAutoHyphens w:val="0"/>
              <w:autoSpaceDE w:val="0"/>
              <w:adjustRightInd w:val="0"/>
              <w:jc w:val="center"/>
              <w:textAlignment w:val="auto"/>
              <w:rPr>
                <w:bCs/>
                <w:iCs/>
                <w:sz w:val="24"/>
                <w:szCs w:val="24"/>
              </w:rPr>
            </w:pPr>
            <w:r>
              <w:rPr>
                <w:bCs/>
                <w:iCs/>
                <w:sz w:val="24"/>
                <w:szCs w:val="24"/>
              </w:rPr>
              <w:t>Источник</w:t>
            </w:r>
          </w:p>
          <w:p>
            <w:pPr>
              <w:suppressAutoHyphens w:val="0"/>
              <w:autoSpaceDE w:val="0"/>
              <w:adjustRightInd w:val="0"/>
              <w:jc w:val="center"/>
              <w:textAlignment w:val="auto"/>
              <w:rPr>
                <w:bCs/>
                <w:iCs/>
                <w:sz w:val="24"/>
                <w:szCs w:val="24"/>
              </w:rPr>
            </w:pPr>
            <w:r>
              <w:rPr>
                <w:bCs/>
                <w:iCs/>
                <w:sz w:val="24"/>
                <w:szCs w:val="24"/>
              </w:rPr>
              <w:t>тепловой  энергии</w:t>
            </w:r>
          </w:p>
        </w:tc>
        <w:tc>
          <w:tcPr>
            <w:tcW w:w="1134" w:type="dxa"/>
            <w:vMerge w:val="restart"/>
            <w:vAlign w:val="center"/>
          </w:tcPr>
          <w:p>
            <w:pPr>
              <w:suppressAutoHyphens w:val="0"/>
              <w:autoSpaceDE w:val="0"/>
              <w:adjustRightInd w:val="0"/>
              <w:jc w:val="center"/>
              <w:textAlignment w:val="auto"/>
              <w:rPr>
                <w:bCs/>
                <w:iCs/>
                <w:sz w:val="24"/>
                <w:szCs w:val="24"/>
              </w:rPr>
            </w:pPr>
            <w:r>
              <w:rPr>
                <w:bCs/>
                <w:iCs/>
                <w:sz w:val="24"/>
                <w:szCs w:val="24"/>
              </w:rPr>
              <w:t>Адрес</w:t>
            </w:r>
          </w:p>
        </w:tc>
        <w:tc>
          <w:tcPr>
            <w:tcW w:w="709" w:type="dxa"/>
            <w:vMerge w:val="restart"/>
            <w:vAlign w:val="center"/>
          </w:tcPr>
          <w:p>
            <w:pPr>
              <w:suppressAutoHyphens w:val="0"/>
              <w:autoSpaceDE w:val="0"/>
              <w:adjustRightInd w:val="0"/>
              <w:jc w:val="center"/>
              <w:textAlignment w:val="auto"/>
              <w:rPr>
                <w:bCs/>
                <w:iCs/>
                <w:sz w:val="24"/>
                <w:szCs w:val="24"/>
              </w:rPr>
            </w:pPr>
            <w:r>
              <w:rPr>
                <w:bCs/>
                <w:iCs/>
                <w:sz w:val="24"/>
                <w:szCs w:val="24"/>
              </w:rPr>
              <w:t>№</w:t>
            </w:r>
          </w:p>
          <w:p>
            <w:pPr>
              <w:suppressAutoHyphens w:val="0"/>
              <w:autoSpaceDE w:val="0"/>
              <w:adjustRightInd w:val="0"/>
              <w:jc w:val="center"/>
              <w:textAlignment w:val="auto"/>
              <w:rPr>
                <w:bCs/>
                <w:iCs/>
                <w:sz w:val="24"/>
                <w:szCs w:val="24"/>
              </w:rPr>
            </w:pPr>
            <w:r>
              <w:rPr>
                <w:bCs/>
                <w:iCs/>
                <w:sz w:val="24"/>
                <w:szCs w:val="24"/>
              </w:rPr>
              <w:t>котла</w:t>
            </w:r>
          </w:p>
        </w:tc>
        <w:tc>
          <w:tcPr>
            <w:tcW w:w="1701" w:type="dxa"/>
            <w:vMerge w:val="restart"/>
            <w:vAlign w:val="center"/>
          </w:tcPr>
          <w:p>
            <w:pPr>
              <w:suppressAutoHyphens w:val="0"/>
              <w:autoSpaceDE w:val="0"/>
              <w:adjustRightInd w:val="0"/>
              <w:jc w:val="center"/>
              <w:textAlignment w:val="auto"/>
              <w:rPr>
                <w:bCs/>
                <w:iCs/>
                <w:sz w:val="24"/>
                <w:szCs w:val="24"/>
              </w:rPr>
            </w:pPr>
            <w:r>
              <w:rPr>
                <w:bCs/>
                <w:iCs/>
                <w:sz w:val="24"/>
                <w:szCs w:val="24"/>
              </w:rPr>
              <w:t>Марка</w:t>
            </w:r>
          </w:p>
          <w:p>
            <w:pPr>
              <w:suppressAutoHyphens w:val="0"/>
              <w:autoSpaceDE w:val="0"/>
              <w:adjustRightInd w:val="0"/>
              <w:jc w:val="center"/>
              <w:textAlignment w:val="auto"/>
              <w:rPr>
                <w:bCs/>
                <w:iCs/>
                <w:sz w:val="24"/>
                <w:szCs w:val="24"/>
              </w:rPr>
            </w:pPr>
            <w:r>
              <w:rPr>
                <w:bCs/>
                <w:iCs/>
                <w:sz w:val="24"/>
                <w:szCs w:val="24"/>
              </w:rPr>
              <w:t>котла</w:t>
            </w:r>
          </w:p>
        </w:tc>
        <w:tc>
          <w:tcPr>
            <w:tcW w:w="1187" w:type="dxa"/>
            <w:vMerge w:val="restart"/>
            <w:vAlign w:val="center"/>
          </w:tcPr>
          <w:p>
            <w:pPr>
              <w:suppressAutoHyphens w:val="0"/>
              <w:autoSpaceDE w:val="0"/>
              <w:adjustRightInd w:val="0"/>
              <w:jc w:val="center"/>
              <w:textAlignment w:val="auto"/>
              <w:rPr>
                <w:bCs/>
                <w:iCs/>
                <w:sz w:val="24"/>
                <w:szCs w:val="24"/>
              </w:rPr>
            </w:pPr>
            <w:r>
              <w:rPr>
                <w:bCs/>
                <w:iCs/>
                <w:sz w:val="24"/>
                <w:szCs w:val="24"/>
              </w:rPr>
              <w:t>Присоединен-ная на-грузка</w:t>
            </w: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r>
              <w:rPr>
                <w:sz w:val="24"/>
                <w:szCs w:val="24"/>
              </w:rPr>
              <w:t>Гкал/час</w:t>
            </w:r>
          </w:p>
        </w:tc>
        <w:tc>
          <w:tcPr>
            <w:tcW w:w="850" w:type="dxa"/>
            <w:vAlign w:val="center"/>
          </w:tcPr>
          <w:p>
            <w:pPr>
              <w:suppressAutoHyphens w:val="0"/>
              <w:autoSpaceDE w:val="0"/>
              <w:adjustRightInd w:val="0"/>
              <w:jc w:val="center"/>
              <w:textAlignment w:val="auto"/>
              <w:rPr>
                <w:bCs/>
                <w:iCs/>
                <w:sz w:val="24"/>
                <w:szCs w:val="24"/>
              </w:rPr>
            </w:pPr>
            <w:r>
              <w:rPr>
                <w:bCs/>
                <w:iCs/>
                <w:sz w:val="24"/>
                <w:szCs w:val="24"/>
              </w:rPr>
              <w:t>Установ-</w:t>
            </w:r>
          </w:p>
          <w:p>
            <w:pPr>
              <w:suppressAutoHyphens w:val="0"/>
              <w:autoSpaceDE w:val="0"/>
              <w:adjustRightInd w:val="0"/>
              <w:jc w:val="center"/>
              <w:textAlignment w:val="auto"/>
              <w:rPr>
                <w:bCs/>
                <w:iCs/>
                <w:sz w:val="24"/>
                <w:szCs w:val="24"/>
              </w:rPr>
            </w:pPr>
            <w:r>
              <w:rPr>
                <w:bCs/>
                <w:iCs/>
                <w:sz w:val="24"/>
                <w:szCs w:val="24"/>
              </w:rPr>
              <w:t>лен-ная</w:t>
            </w:r>
          </w:p>
          <w:p>
            <w:pPr>
              <w:suppressAutoHyphens w:val="0"/>
              <w:autoSpaceDE w:val="0"/>
              <w:adjustRightInd w:val="0"/>
              <w:jc w:val="center"/>
              <w:textAlignment w:val="auto"/>
              <w:rPr>
                <w:bCs/>
                <w:iCs/>
                <w:sz w:val="24"/>
                <w:szCs w:val="24"/>
              </w:rPr>
            </w:pPr>
            <w:r>
              <w:rPr>
                <w:bCs/>
                <w:iCs/>
                <w:sz w:val="24"/>
                <w:szCs w:val="24"/>
              </w:rPr>
              <w:t>мощ-</w:t>
            </w:r>
          </w:p>
          <w:p>
            <w:pPr>
              <w:suppressAutoHyphens w:val="0"/>
              <w:autoSpaceDE w:val="0"/>
              <w:adjustRightInd w:val="0"/>
              <w:jc w:val="center"/>
              <w:textAlignment w:val="auto"/>
              <w:rPr>
                <w:bCs/>
                <w:iCs/>
                <w:sz w:val="24"/>
                <w:szCs w:val="24"/>
              </w:rPr>
            </w:pPr>
            <w:r>
              <w:rPr>
                <w:bCs/>
                <w:iCs/>
                <w:sz w:val="24"/>
                <w:szCs w:val="24"/>
              </w:rPr>
              <w:t>ность</w:t>
            </w:r>
          </w:p>
        </w:tc>
        <w:tc>
          <w:tcPr>
            <w:tcW w:w="970" w:type="dxa"/>
            <w:vAlign w:val="center"/>
          </w:tcPr>
          <w:p>
            <w:pPr>
              <w:suppressAutoHyphens w:val="0"/>
              <w:autoSpaceDE w:val="0"/>
              <w:adjustRightInd w:val="0"/>
              <w:jc w:val="center"/>
              <w:textAlignment w:val="auto"/>
              <w:rPr>
                <w:bCs/>
                <w:iCs/>
                <w:sz w:val="24"/>
                <w:szCs w:val="24"/>
              </w:rPr>
            </w:pPr>
            <w:r>
              <w:rPr>
                <w:bCs/>
                <w:iCs/>
                <w:sz w:val="24"/>
                <w:szCs w:val="24"/>
              </w:rPr>
              <w:t>Кол-во</w:t>
            </w:r>
          </w:p>
          <w:p>
            <w:pPr>
              <w:suppressAutoHyphens w:val="0"/>
              <w:autoSpaceDE w:val="0"/>
              <w:adjustRightInd w:val="0"/>
              <w:jc w:val="center"/>
              <w:textAlignment w:val="auto"/>
              <w:rPr>
                <w:bCs/>
                <w:iCs/>
                <w:sz w:val="24"/>
                <w:szCs w:val="24"/>
              </w:rPr>
            </w:pPr>
            <w:r>
              <w:rPr>
                <w:bCs/>
                <w:iCs/>
                <w:sz w:val="24"/>
                <w:szCs w:val="24"/>
              </w:rPr>
              <w:t>подключенных потре-бителей</w:t>
            </w:r>
          </w:p>
        </w:tc>
        <w:tc>
          <w:tcPr>
            <w:tcW w:w="1015" w:type="dxa"/>
            <w:vAlign w:val="center"/>
          </w:tcPr>
          <w:p>
            <w:pPr>
              <w:suppressAutoHyphens w:val="0"/>
              <w:autoSpaceDE w:val="0"/>
              <w:adjustRightInd w:val="0"/>
              <w:jc w:val="center"/>
              <w:textAlignment w:val="auto"/>
              <w:rPr>
                <w:bCs/>
                <w:iCs/>
                <w:sz w:val="24"/>
                <w:szCs w:val="24"/>
              </w:rPr>
            </w:pPr>
            <w:r>
              <w:rPr>
                <w:bCs/>
                <w:iCs/>
                <w:sz w:val="24"/>
                <w:szCs w:val="24"/>
              </w:rPr>
              <w:t>Протяженность тепловых сетей (в 2х трубном исполнении)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75" w:type="dxa"/>
            <w:vMerge w:val="continue"/>
            <w:vAlign w:val="center"/>
          </w:tcPr>
          <w:p>
            <w:pPr>
              <w:suppressAutoHyphens w:val="0"/>
              <w:autoSpaceDE w:val="0"/>
              <w:adjustRightInd w:val="0"/>
              <w:jc w:val="center"/>
              <w:textAlignment w:val="auto"/>
              <w:rPr>
                <w:bCs/>
                <w:iCs/>
                <w:sz w:val="24"/>
                <w:szCs w:val="24"/>
              </w:rPr>
            </w:pPr>
          </w:p>
        </w:tc>
        <w:tc>
          <w:tcPr>
            <w:tcW w:w="1843" w:type="dxa"/>
            <w:vMerge w:val="continue"/>
            <w:vAlign w:val="center"/>
          </w:tcPr>
          <w:p>
            <w:pPr>
              <w:suppressAutoHyphens w:val="0"/>
              <w:autoSpaceDE w:val="0"/>
              <w:adjustRightInd w:val="0"/>
              <w:jc w:val="center"/>
              <w:textAlignment w:val="auto"/>
              <w:rPr>
                <w:bCs/>
                <w:iCs/>
                <w:sz w:val="24"/>
                <w:szCs w:val="24"/>
              </w:rPr>
            </w:pPr>
          </w:p>
        </w:tc>
        <w:tc>
          <w:tcPr>
            <w:tcW w:w="1134" w:type="dxa"/>
            <w:vMerge w:val="continue"/>
            <w:vAlign w:val="center"/>
          </w:tcPr>
          <w:p>
            <w:pPr>
              <w:suppressAutoHyphens w:val="0"/>
              <w:autoSpaceDE w:val="0"/>
              <w:adjustRightInd w:val="0"/>
              <w:jc w:val="center"/>
              <w:textAlignment w:val="auto"/>
              <w:rPr>
                <w:bCs/>
                <w:iCs/>
                <w:sz w:val="24"/>
                <w:szCs w:val="24"/>
              </w:rPr>
            </w:pPr>
          </w:p>
        </w:tc>
        <w:tc>
          <w:tcPr>
            <w:tcW w:w="709" w:type="dxa"/>
            <w:vMerge w:val="continue"/>
            <w:vAlign w:val="center"/>
          </w:tcPr>
          <w:p>
            <w:pPr>
              <w:suppressAutoHyphens w:val="0"/>
              <w:autoSpaceDE w:val="0"/>
              <w:adjustRightInd w:val="0"/>
              <w:jc w:val="center"/>
              <w:textAlignment w:val="auto"/>
              <w:rPr>
                <w:bCs/>
                <w:iCs/>
                <w:sz w:val="24"/>
                <w:szCs w:val="24"/>
              </w:rPr>
            </w:pPr>
          </w:p>
        </w:tc>
        <w:tc>
          <w:tcPr>
            <w:tcW w:w="1701" w:type="dxa"/>
            <w:vMerge w:val="continue"/>
            <w:vAlign w:val="center"/>
          </w:tcPr>
          <w:p>
            <w:pPr>
              <w:suppressAutoHyphens w:val="0"/>
              <w:autoSpaceDE w:val="0"/>
              <w:adjustRightInd w:val="0"/>
              <w:jc w:val="center"/>
              <w:textAlignment w:val="auto"/>
              <w:rPr>
                <w:bCs/>
                <w:iCs/>
                <w:sz w:val="24"/>
                <w:szCs w:val="24"/>
              </w:rPr>
            </w:pPr>
          </w:p>
        </w:tc>
        <w:tc>
          <w:tcPr>
            <w:tcW w:w="1187" w:type="dxa"/>
            <w:vMerge w:val="continue"/>
            <w:vAlign w:val="center"/>
          </w:tcPr>
          <w:p>
            <w:pPr>
              <w:suppressAutoHyphens w:val="0"/>
              <w:autoSpaceDE w:val="0"/>
              <w:adjustRightInd w:val="0"/>
              <w:jc w:val="center"/>
              <w:textAlignment w:val="auto"/>
              <w:rPr>
                <w:bCs/>
                <w:iCs/>
                <w:sz w:val="24"/>
                <w:szCs w:val="24"/>
              </w:rPr>
            </w:pPr>
          </w:p>
        </w:tc>
        <w:tc>
          <w:tcPr>
            <w:tcW w:w="850" w:type="dxa"/>
            <w:vAlign w:val="center"/>
          </w:tcPr>
          <w:p>
            <w:pPr>
              <w:suppressAutoHyphens w:val="0"/>
              <w:autoSpaceDE w:val="0"/>
              <w:adjustRightInd w:val="0"/>
              <w:jc w:val="center"/>
              <w:textAlignment w:val="auto"/>
              <w:rPr>
                <w:bCs/>
                <w:iCs/>
                <w:sz w:val="24"/>
                <w:szCs w:val="24"/>
              </w:rPr>
            </w:pPr>
            <w:r>
              <w:rPr>
                <w:bCs/>
                <w:iCs/>
                <w:sz w:val="24"/>
                <w:szCs w:val="24"/>
              </w:rPr>
              <w:t>Гкал/час</w:t>
            </w:r>
          </w:p>
        </w:tc>
        <w:tc>
          <w:tcPr>
            <w:tcW w:w="970" w:type="dxa"/>
            <w:vAlign w:val="center"/>
          </w:tcPr>
          <w:p>
            <w:pPr>
              <w:suppressAutoHyphens w:val="0"/>
              <w:autoSpaceDE w:val="0"/>
              <w:adjustRightInd w:val="0"/>
              <w:jc w:val="center"/>
              <w:textAlignment w:val="auto"/>
              <w:rPr>
                <w:bCs/>
                <w:iCs/>
                <w:sz w:val="24"/>
                <w:szCs w:val="24"/>
              </w:rPr>
            </w:pPr>
            <w:r>
              <w:rPr>
                <w:bCs/>
                <w:iCs/>
                <w:sz w:val="24"/>
                <w:szCs w:val="24"/>
              </w:rPr>
              <w:t>Шт.</w:t>
            </w:r>
          </w:p>
        </w:tc>
        <w:tc>
          <w:tcPr>
            <w:tcW w:w="1015" w:type="dxa"/>
            <w:vAlign w:val="center"/>
          </w:tcPr>
          <w:p>
            <w:pPr>
              <w:suppressAutoHyphens w:val="0"/>
              <w:autoSpaceDE w:val="0"/>
              <w:adjustRightInd w:val="0"/>
              <w:jc w:val="center"/>
              <w:textAlignment w:val="auto"/>
              <w:rPr>
                <w:bCs/>
                <w:iCs/>
                <w:sz w:val="24"/>
                <w:szCs w:val="24"/>
              </w:rPr>
            </w:pPr>
            <w:r>
              <w:rPr>
                <w:bCs/>
                <w:iCs/>
                <w:sz w:val="24"/>
                <w:szCs w:val="24"/>
              </w:rPr>
              <w:t>Км.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75" w:type="dxa"/>
            <w:vMerge w:val="restart"/>
            <w:vAlign w:val="center"/>
          </w:tcPr>
          <w:p>
            <w:pPr>
              <w:suppressAutoHyphens w:val="0"/>
              <w:autoSpaceDE w:val="0"/>
              <w:adjustRightInd w:val="0"/>
              <w:jc w:val="center"/>
              <w:textAlignment w:val="auto"/>
              <w:rPr>
                <w:bCs/>
                <w:iCs/>
                <w:sz w:val="24"/>
                <w:szCs w:val="24"/>
              </w:rPr>
            </w:pPr>
            <w:r>
              <w:rPr>
                <w:bCs/>
                <w:iCs/>
                <w:sz w:val="24"/>
                <w:szCs w:val="24"/>
              </w:rPr>
              <w:t>1</w:t>
            </w:r>
          </w:p>
        </w:tc>
        <w:tc>
          <w:tcPr>
            <w:tcW w:w="1843" w:type="dxa"/>
            <w:vMerge w:val="restart"/>
            <w:vAlign w:val="center"/>
          </w:tcPr>
          <w:p>
            <w:pPr>
              <w:suppressAutoHyphens w:val="0"/>
              <w:autoSpaceDE w:val="0"/>
              <w:adjustRightInd w:val="0"/>
              <w:jc w:val="center"/>
              <w:textAlignment w:val="auto"/>
              <w:rPr>
                <w:bCs/>
                <w:iCs/>
                <w:sz w:val="24"/>
                <w:szCs w:val="24"/>
              </w:rPr>
            </w:pPr>
            <w:r>
              <w:rPr>
                <w:bCs/>
                <w:iCs/>
                <w:sz w:val="24"/>
                <w:szCs w:val="24"/>
              </w:rPr>
              <w:t>Котельная №2 х.Тормосин</w:t>
            </w:r>
          </w:p>
        </w:tc>
        <w:tc>
          <w:tcPr>
            <w:tcW w:w="1134" w:type="dxa"/>
            <w:vMerge w:val="restart"/>
            <w:vAlign w:val="center"/>
          </w:tcPr>
          <w:p>
            <w:pPr>
              <w:suppressAutoHyphens w:val="0"/>
              <w:autoSpaceDE w:val="0"/>
              <w:adjustRightInd w:val="0"/>
              <w:jc w:val="center"/>
              <w:textAlignment w:val="auto"/>
              <w:rPr>
                <w:bCs/>
                <w:iCs/>
                <w:sz w:val="24"/>
                <w:szCs w:val="24"/>
              </w:rPr>
            </w:pPr>
            <w:r>
              <w:rPr>
                <w:bCs/>
                <w:iCs/>
                <w:sz w:val="24"/>
                <w:szCs w:val="24"/>
              </w:rPr>
              <w:t>х.Тор-мосин</w:t>
            </w:r>
          </w:p>
        </w:tc>
        <w:tc>
          <w:tcPr>
            <w:tcW w:w="709" w:type="dxa"/>
            <w:vAlign w:val="center"/>
          </w:tcPr>
          <w:p>
            <w:pPr>
              <w:suppressAutoHyphens w:val="0"/>
              <w:autoSpaceDE w:val="0"/>
              <w:adjustRightInd w:val="0"/>
              <w:jc w:val="center"/>
              <w:textAlignment w:val="auto"/>
              <w:rPr>
                <w:bCs/>
                <w:iCs/>
                <w:sz w:val="24"/>
                <w:szCs w:val="24"/>
              </w:rPr>
            </w:pPr>
            <w:r>
              <w:rPr>
                <w:bCs/>
                <w:iCs/>
                <w:sz w:val="24"/>
                <w:szCs w:val="24"/>
              </w:rPr>
              <w:t>1</w:t>
            </w:r>
          </w:p>
        </w:tc>
        <w:tc>
          <w:tcPr>
            <w:tcW w:w="1701" w:type="dxa"/>
            <w:vAlign w:val="center"/>
          </w:tcPr>
          <w:p>
            <w:pPr>
              <w:suppressAutoHyphens w:val="0"/>
              <w:autoSpaceDE w:val="0"/>
              <w:adjustRightInd w:val="0"/>
              <w:jc w:val="center"/>
              <w:textAlignment w:val="auto"/>
              <w:rPr>
                <w:bCs/>
                <w:iCs/>
                <w:sz w:val="24"/>
                <w:szCs w:val="24"/>
              </w:rPr>
            </w:pPr>
            <w:r>
              <w:rPr>
                <w:bCs/>
                <w:iCs/>
                <w:sz w:val="24"/>
                <w:szCs w:val="24"/>
              </w:rPr>
              <w:t>Stawane 250</w:t>
            </w:r>
          </w:p>
        </w:tc>
        <w:tc>
          <w:tcPr>
            <w:tcW w:w="1187" w:type="dxa"/>
            <w:vMerge w:val="restart"/>
            <w:vAlign w:val="center"/>
          </w:tcPr>
          <w:p>
            <w:pPr>
              <w:suppressAutoHyphens w:val="0"/>
              <w:autoSpaceDE w:val="0"/>
              <w:adjustRightInd w:val="0"/>
              <w:jc w:val="center"/>
              <w:textAlignment w:val="auto"/>
              <w:rPr>
                <w:bCs/>
                <w:iCs/>
                <w:sz w:val="24"/>
                <w:szCs w:val="24"/>
              </w:rPr>
            </w:pPr>
            <w:r>
              <w:rPr>
                <w:bCs/>
                <w:iCs/>
                <w:sz w:val="24"/>
                <w:szCs w:val="24"/>
              </w:rPr>
              <w:t>0,247</w:t>
            </w:r>
          </w:p>
        </w:tc>
        <w:tc>
          <w:tcPr>
            <w:tcW w:w="850" w:type="dxa"/>
            <w:vMerge w:val="restart"/>
            <w:vAlign w:val="center"/>
          </w:tcPr>
          <w:p>
            <w:pPr>
              <w:suppressAutoHyphens w:val="0"/>
              <w:autoSpaceDE w:val="0"/>
              <w:adjustRightInd w:val="0"/>
              <w:jc w:val="center"/>
              <w:textAlignment w:val="auto"/>
              <w:rPr>
                <w:bCs/>
                <w:iCs/>
                <w:sz w:val="24"/>
                <w:szCs w:val="24"/>
              </w:rPr>
            </w:pPr>
            <w:r>
              <w:rPr>
                <w:bCs/>
                <w:iCs/>
                <w:sz w:val="24"/>
                <w:szCs w:val="24"/>
              </w:rPr>
              <w:t>0,645</w:t>
            </w:r>
          </w:p>
        </w:tc>
        <w:tc>
          <w:tcPr>
            <w:tcW w:w="970" w:type="dxa"/>
            <w:vMerge w:val="restart"/>
            <w:vAlign w:val="center"/>
          </w:tcPr>
          <w:p>
            <w:pPr>
              <w:suppressAutoHyphens w:val="0"/>
              <w:autoSpaceDE w:val="0"/>
              <w:adjustRightInd w:val="0"/>
              <w:jc w:val="center"/>
              <w:textAlignment w:val="auto"/>
              <w:rPr>
                <w:bCs/>
                <w:iCs/>
                <w:sz w:val="24"/>
                <w:szCs w:val="24"/>
              </w:rPr>
            </w:pPr>
            <w:r>
              <w:rPr>
                <w:bCs/>
                <w:iCs/>
                <w:sz w:val="24"/>
                <w:szCs w:val="24"/>
              </w:rPr>
              <w:t>4</w:t>
            </w:r>
          </w:p>
        </w:tc>
        <w:tc>
          <w:tcPr>
            <w:tcW w:w="1015" w:type="dxa"/>
            <w:vMerge w:val="restart"/>
            <w:vAlign w:val="center"/>
          </w:tcPr>
          <w:p>
            <w:pPr>
              <w:suppressAutoHyphens w:val="0"/>
              <w:autoSpaceDE w:val="0"/>
              <w:adjustRightInd w:val="0"/>
              <w:jc w:val="center"/>
              <w:textAlignment w:val="auto"/>
              <w:rPr>
                <w:bCs/>
                <w:iCs/>
                <w:sz w:val="24"/>
                <w:szCs w:val="24"/>
              </w:rPr>
            </w:pPr>
            <w:r>
              <w:rPr>
                <w:bCs/>
                <w:iCs/>
                <w:sz w:val="24"/>
                <w:szCs w:val="24"/>
              </w:rPr>
              <w:t>0,138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75" w:type="dxa"/>
            <w:vMerge w:val="continue"/>
            <w:vAlign w:val="center"/>
          </w:tcPr>
          <w:p>
            <w:pPr>
              <w:suppressAutoHyphens w:val="0"/>
              <w:autoSpaceDE w:val="0"/>
              <w:adjustRightInd w:val="0"/>
              <w:jc w:val="center"/>
              <w:textAlignment w:val="auto"/>
              <w:rPr>
                <w:bCs/>
                <w:iCs/>
                <w:sz w:val="24"/>
                <w:szCs w:val="24"/>
              </w:rPr>
            </w:pPr>
          </w:p>
        </w:tc>
        <w:tc>
          <w:tcPr>
            <w:tcW w:w="1843" w:type="dxa"/>
            <w:vMerge w:val="continue"/>
            <w:vAlign w:val="center"/>
          </w:tcPr>
          <w:p>
            <w:pPr>
              <w:suppressAutoHyphens w:val="0"/>
              <w:autoSpaceDE w:val="0"/>
              <w:adjustRightInd w:val="0"/>
              <w:jc w:val="center"/>
              <w:textAlignment w:val="auto"/>
              <w:rPr>
                <w:bCs/>
                <w:iCs/>
                <w:sz w:val="24"/>
                <w:szCs w:val="24"/>
              </w:rPr>
            </w:pPr>
          </w:p>
        </w:tc>
        <w:tc>
          <w:tcPr>
            <w:tcW w:w="1134" w:type="dxa"/>
            <w:vMerge w:val="continue"/>
            <w:vAlign w:val="center"/>
          </w:tcPr>
          <w:p>
            <w:pPr>
              <w:suppressAutoHyphens w:val="0"/>
              <w:autoSpaceDE w:val="0"/>
              <w:adjustRightInd w:val="0"/>
              <w:jc w:val="center"/>
              <w:textAlignment w:val="auto"/>
              <w:rPr>
                <w:bCs/>
                <w:iCs/>
                <w:sz w:val="24"/>
                <w:szCs w:val="24"/>
              </w:rPr>
            </w:pPr>
          </w:p>
        </w:tc>
        <w:tc>
          <w:tcPr>
            <w:tcW w:w="709" w:type="dxa"/>
            <w:vAlign w:val="center"/>
          </w:tcPr>
          <w:p>
            <w:pPr>
              <w:suppressAutoHyphens w:val="0"/>
              <w:autoSpaceDE w:val="0"/>
              <w:adjustRightInd w:val="0"/>
              <w:jc w:val="center"/>
              <w:textAlignment w:val="auto"/>
              <w:rPr>
                <w:bCs/>
                <w:iCs/>
                <w:sz w:val="24"/>
                <w:szCs w:val="24"/>
              </w:rPr>
            </w:pPr>
            <w:r>
              <w:rPr>
                <w:bCs/>
                <w:iCs/>
                <w:sz w:val="24"/>
                <w:szCs w:val="24"/>
              </w:rPr>
              <w:t>2</w:t>
            </w:r>
          </w:p>
        </w:tc>
        <w:tc>
          <w:tcPr>
            <w:tcW w:w="1701" w:type="dxa"/>
            <w:vAlign w:val="center"/>
          </w:tcPr>
          <w:p>
            <w:pPr>
              <w:suppressAutoHyphens w:val="0"/>
              <w:autoSpaceDE w:val="0"/>
              <w:adjustRightInd w:val="0"/>
              <w:jc w:val="center"/>
              <w:textAlignment w:val="auto"/>
              <w:rPr>
                <w:bCs/>
                <w:iCs/>
                <w:sz w:val="24"/>
                <w:szCs w:val="24"/>
              </w:rPr>
            </w:pPr>
            <w:r>
              <w:rPr>
                <w:bCs/>
                <w:iCs/>
                <w:sz w:val="24"/>
                <w:szCs w:val="24"/>
              </w:rPr>
              <w:t>Stawane 250</w:t>
            </w:r>
          </w:p>
        </w:tc>
        <w:tc>
          <w:tcPr>
            <w:tcW w:w="1187" w:type="dxa"/>
            <w:vMerge w:val="continue"/>
            <w:vAlign w:val="center"/>
          </w:tcPr>
          <w:p>
            <w:pPr>
              <w:suppressAutoHyphens w:val="0"/>
              <w:autoSpaceDE w:val="0"/>
              <w:adjustRightInd w:val="0"/>
              <w:jc w:val="center"/>
              <w:textAlignment w:val="auto"/>
              <w:rPr>
                <w:bCs/>
                <w:iCs/>
                <w:sz w:val="24"/>
                <w:szCs w:val="24"/>
              </w:rPr>
            </w:pPr>
          </w:p>
        </w:tc>
        <w:tc>
          <w:tcPr>
            <w:tcW w:w="850" w:type="dxa"/>
            <w:vMerge w:val="continue"/>
            <w:vAlign w:val="center"/>
          </w:tcPr>
          <w:p>
            <w:pPr>
              <w:suppressAutoHyphens w:val="0"/>
              <w:autoSpaceDE w:val="0"/>
              <w:adjustRightInd w:val="0"/>
              <w:jc w:val="center"/>
              <w:textAlignment w:val="auto"/>
              <w:rPr>
                <w:bCs/>
                <w:iCs/>
                <w:sz w:val="24"/>
                <w:szCs w:val="24"/>
              </w:rPr>
            </w:pPr>
          </w:p>
        </w:tc>
        <w:tc>
          <w:tcPr>
            <w:tcW w:w="970" w:type="dxa"/>
            <w:vMerge w:val="continue"/>
            <w:vAlign w:val="center"/>
          </w:tcPr>
          <w:p>
            <w:pPr>
              <w:suppressAutoHyphens w:val="0"/>
              <w:autoSpaceDE w:val="0"/>
              <w:adjustRightInd w:val="0"/>
              <w:jc w:val="center"/>
              <w:textAlignment w:val="auto"/>
              <w:rPr>
                <w:bCs/>
                <w:iCs/>
                <w:sz w:val="24"/>
                <w:szCs w:val="24"/>
              </w:rPr>
            </w:pPr>
          </w:p>
        </w:tc>
        <w:tc>
          <w:tcPr>
            <w:tcW w:w="1015" w:type="dxa"/>
            <w:vMerge w:val="continue"/>
            <w:vAlign w:val="center"/>
          </w:tcPr>
          <w:p>
            <w:pPr>
              <w:suppressAutoHyphens w:val="0"/>
              <w:autoSpaceDE w:val="0"/>
              <w:adjustRightInd w:val="0"/>
              <w:jc w:val="center"/>
              <w:textAlignment w:val="auto"/>
              <w:rPr>
                <w:bCs/>
                <w:i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75" w:type="dxa"/>
            <w:vMerge w:val="continue"/>
            <w:vAlign w:val="center"/>
          </w:tcPr>
          <w:p>
            <w:pPr>
              <w:suppressAutoHyphens w:val="0"/>
              <w:autoSpaceDE w:val="0"/>
              <w:adjustRightInd w:val="0"/>
              <w:jc w:val="center"/>
              <w:textAlignment w:val="auto"/>
              <w:rPr>
                <w:bCs/>
                <w:iCs/>
                <w:sz w:val="24"/>
                <w:szCs w:val="24"/>
              </w:rPr>
            </w:pPr>
          </w:p>
        </w:tc>
        <w:tc>
          <w:tcPr>
            <w:tcW w:w="1843" w:type="dxa"/>
            <w:vMerge w:val="continue"/>
            <w:vAlign w:val="center"/>
          </w:tcPr>
          <w:p>
            <w:pPr>
              <w:suppressAutoHyphens w:val="0"/>
              <w:autoSpaceDE w:val="0"/>
              <w:adjustRightInd w:val="0"/>
              <w:jc w:val="center"/>
              <w:textAlignment w:val="auto"/>
              <w:rPr>
                <w:bCs/>
                <w:iCs/>
                <w:sz w:val="24"/>
                <w:szCs w:val="24"/>
              </w:rPr>
            </w:pPr>
          </w:p>
        </w:tc>
        <w:tc>
          <w:tcPr>
            <w:tcW w:w="1134" w:type="dxa"/>
            <w:vMerge w:val="continue"/>
            <w:vAlign w:val="center"/>
          </w:tcPr>
          <w:p>
            <w:pPr>
              <w:suppressAutoHyphens w:val="0"/>
              <w:autoSpaceDE w:val="0"/>
              <w:adjustRightInd w:val="0"/>
              <w:jc w:val="center"/>
              <w:textAlignment w:val="auto"/>
              <w:rPr>
                <w:bCs/>
                <w:iCs/>
                <w:sz w:val="24"/>
                <w:szCs w:val="24"/>
              </w:rPr>
            </w:pPr>
          </w:p>
        </w:tc>
        <w:tc>
          <w:tcPr>
            <w:tcW w:w="709" w:type="dxa"/>
            <w:vAlign w:val="center"/>
          </w:tcPr>
          <w:p>
            <w:pPr>
              <w:suppressAutoHyphens w:val="0"/>
              <w:autoSpaceDE w:val="0"/>
              <w:adjustRightInd w:val="0"/>
              <w:jc w:val="center"/>
              <w:textAlignment w:val="auto"/>
              <w:rPr>
                <w:bCs/>
                <w:iCs/>
                <w:sz w:val="24"/>
                <w:szCs w:val="24"/>
              </w:rPr>
            </w:pPr>
            <w:r>
              <w:rPr>
                <w:bCs/>
                <w:iCs/>
                <w:sz w:val="24"/>
                <w:szCs w:val="24"/>
              </w:rPr>
              <w:t>3</w:t>
            </w:r>
          </w:p>
        </w:tc>
        <w:tc>
          <w:tcPr>
            <w:tcW w:w="1701" w:type="dxa"/>
            <w:vAlign w:val="center"/>
          </w:tcPr>
          <w:p>
            <w:pPr>
              <w:suppressAutoHyphens w:val="0"/>
              <w:autoSpaceDE w:val="0"/>
              <w:adjustRightInd w:val="0"/>
              <w:jc w:val="center"/>
              <w:textAlignment w:val="auto"/>
              <w:rPr>
                <w:bCs/>
                <w:iCs/>
                <w:sz w:val="24"/>
                <w:szCs w:val="24"/>
              </w:rPr>
            </w:pPr>
            <w:r>
              <w:rPr>
                <w:bCs/>
                <w:iCs/>
                <w:sz w:val="24"/>
                <w:szCs w:val="24"/>
              </w:rPr>
              <w:t>Stawane 250</w:t>
            </w:r>
          </w:p>
        </w:tc>
        <w:tc>
          <w:tcPr>
            <w:tcW w:w="1187" w:type="dxa"/>
            <w:vMerge w:val="continue"/>
            <w:vAlign w:val="center"/>
          </w:tcPr>
          <w:p>
            <w:pPr>
              <w:suppressAutoHyphens w:val="0"/>
              <w:autoSpaceDE w:val="0"/>
              <w:adjustRightInd w:val="0"/>
              <w:jc w:val="center"/>
              <w:textAlignment w:val="auto"/>
              <w:rPr>
                <w:bCs/>
                <w:iCs/>
                <w:sz w:val="24"/>
                <w:szCs w:val="24"/>
              </w:rPr>
            </w:pPr>
          </w:p>
        </w:tc>
        <w:tc>
          <w:tcPr>
            <w:tcW w:w="850" w:type="dxa"/>
            <w:vMerge w:val="continue"/>
            <w:vAlign w:val="center"/>
          </w:tcPr>
          <w:p>
            <w:pPr>
              <w:suppressAutoHyphens w:val="0"/>
              <w:autoSpaceDE w:val="0"/>
              <w:adjustRightInd w:val="0"/>
              <w:jc w:val="center"/>
              <w:textAlignment w:val="auto"/>
              <w:rPr>
                <w:bCs/>
                <w:iCs/>
                <w:sz w:val="24"/>
                <w:szCs w:val="24"/>
              </w:rPr>
            </w:pPr>
          </w:p>
        </w:tc>
        <w:tc>
          <w:tcPr>
            <w:tcW w:w="970" w:type="dxa"/>
            <w:vMerge w:val="continue"/>
            <w:vAlign w:val="center"/>
          </w:tcPr>
          <w:p>
            <w:pPr>
              <w:suppressAutoHyphens w:val="0"/>
              <w:autoSpaceDE w:val="0"/>
              <w:adjustRightInd w:val="0"/>
              <w:jc w:val="center"/>
              <w:textAlignment w:val="auto"/>
              <w:rPr>
                <w:bCs/>
                <w:iCs/>
                <w:sz w:val="24"/>
                <w:szCs w:val="24"/>
              </w:rPr>
            </w:pPr>
          </w:p>
        </w:tc>
        <w:tc>
          <w:tcPr>
            <w:tcW w:w="1015" w:type="dxa"/>
            <w:vMerge w:val="continue"/>
            <w:vAlign w:val="center"/>
          </w:tcPr>
          <w:p>
            <w:pPr>
              <w:suppressAutoHyphens w:val="0"/>
              <w:autoSpaceDE w:val="0"/>
              <w:adjustRightInd w:val="0"/>
              <w:jc w:val="center"/>
              <w:textAlignment w:val="auto"/>
              <w:rPr>
                <w:bCs/>
                <w:i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75" w:type="dxa"/>
            <w:vMerge w:val="restart"/>
            <w:vAlign w:val="center"/>
          </w:tcPr>
          <w:p>
            <w:pPr>
              <w:suppressAutoHyphens w:val="0"/>
              <w:autoSpaceDE w:val="0"/>
              <w:adjustRightInd w:val="0"/>
              <w:jc w:val="center"/>
              <w:textAlignment w:val="auto"/>
              <w:rPr>
                <w:bCs/>
                <w:iCs/>
                <w:sz w:val="24"/>
                <w:szCs w:val="24"/>
              </w:rPr>
            </w:pPr>
            <w:r>
              <w:rPr>
                <w:bCs/>
                <w:iCs/>
                <w:sz w:val="24"/>
                <w:szCs w:val="24"/>
              </w:rPr>
              <w:t>2</w:t>
            </w:r>
          </w:p>
        </w:tc>
        <w:tc>
          <w:tcPr>
            <w:tcW w:w="1843" w:type="dxa"/>
            <w:vMerge w:val="restart"/>
            <w:vAlign w:val="center"/>
          </w:tcPr>
          <w:p>
            <w:pPr>
              <w:suppressAutoHyphens w:val="0"/>
              <w:autoSpaceDE w:val="0"/>
              <w:adjustRightInd w:val="0"/>
              <w:jc w:val="center"/>
              <w:textAlignment w:val="auto"/>
              <w:rPr>
                <w:bCs/>
                <w:iCs/>
                <w:sz w:val="24"/>
                <w:szCs w:val="24"/>
              </w:rPr>
            </w:pPr>
            <w:r>
              <w:rPr>
                <w:bCs/>
                <w:iCs/>
                <w:sz w:val="24"/>
                <w:szCs w:val="24"/>
              </w:rPr>
              <w:t>Котельная №1 МКОУ «Тормосиновская СОШ»</w:t>
            </w:r>
          </w:p>
        </w:tc>
        <w:tc>
          <w:tcPr>
            <w:tcW w:w="1134" w:type="dxa"/>
            <w:vMerge w:val="restart"/>
            <w:vAlign w:val="center"/>
          </w:tcPr>
          <w:p>
            <w:pPr>
              <w:jc w:val="center"/>
              <w:rPr>
                <w:sz w:val="24"/>
                <w:szCs w:val="24"/>
              </w:rPr>
            </w:pPr>
            <w:r>
              <w:rPr>
                <w:sz w:val="24"/>
                <w:szCs w:val="24"/>
              </w:rPr>
              <w:t>х. Тор-мосин</w:t>
            </w:r>
          </w:p>
        </w:tc>
        <w:tc>
          <w:tcPr>
            <w:tcW w:w="709" w:type="dxa"/>
            <w:vAlign w:val="center"/>
          </w:tcPr>
          <w:p>
            <w:pPr>
              <w:suppressAutoHyphens w:val="0"/>
              <w:autoSpaceDE w:val="0"/>
              <w:adjustRightInd w:val="0"/>
              <w:jc w:val="center"/>
              <w:textAlignment w:val="auto"/>
              <w:rPr>
                <w:bCs/>
                <w:iCs/>
                <w:sz w:val="24"/>
                <w:szCs w:val="24"/>
              </w:rPr>
            </w:pPr>
            <w:r>
              <w:rPr>
                <w:bCs/>
                <w:iCs/>
                <w:sz w:val="24"/>
                <w:szCs w:val="24"/>
              </w:rPr>
              <w:t>1</w:t>
            </w:r>
          </w:p>
        </w:tc>
        <w:tc>
          <w:tcPr>
            <w:tcW w:w="1701" w:type="dxa"/>
            <w:vAlign w:val="center"/>
          </w:tcPr>
          <w:p>
            <w:pPr>
              <w:suppressAutoHyphens w:val="0"/>
              <w:autoSpaceDE w:val="0"/>
              <w:adjustRightInd w:val="0"/>
              <w:jc w:val="center"/>
              <w:textAlignment w:val="auto"/>
              <w:rPr>
                <w:bCs/>
                <w:iCs/>
                <w:sz w:val="24"/>
                <w:szCs w:val="24"/>
              </w:rPr>
            </w:pPr>
            <w:r>
              <w:rPr>
                <w:bCs/>
                <w:iCs/>
                <w:sz w:val="24"/>
                <w:szCs w:val="24"/>
              </w:rPr>
              <w:t>КСВ-0,63ЛЖ</w:t>
            </w:r>
          </w:p>
        </w:tc>
        <w:tc>
          <w:tcPr>
            <w:tcW w:w="1187" w:type="dxa"/>
            <w:vMerge w:val="restart"/>
            <w:vAlign w:val="center"/>
          </w:tcPr>
          <w:p>
            <w:pPr>
              <w:suppressAutoHyphens w:val="0"/>
              <w:autoSpaceDE w:val="0"/>
              <w:adjustRightInd w:val="0"/>
              <w:jc w:val="center"/>
              <w:textAlignment w:val="auto"/>
              <w:rPr>
                <w:bCs/>
                <w:iCs/>
                <w:sz w:val="24"/>
                <w:szCs w:val="24"/>
              </w:rPr>
            </w:pPr>
            <w:r>
              <w:rPr>
                <w:bCs/>
                <w:iCs/>
                <w:sz w:val="24"/>
                <w:szCs w:val="24"/>
              </w:rPr>
              <w:t>0,260</w:t>
            </w:r>
          </w:p>
        </w:tc>
        <w:tc>
          <w:tcPr>
            <w:tcW w:w="850" w:type="dxa"/>
            <w:vMerge w:val="restart"/>
            <w:vAlign w:val="center"/>
          </w:tcPr>
          <w:p>
            <w:pPr>
              <w:autoSpaceDE w:val="0"/>
              <w:adjustRightInd w:val="0"/>
              <w:jc w:val="center"/>
              <w:textAlignment w:val="auto"/>
              <w:rPr>
                <w:bCs/>
                <w:iCs/>
                <w:sz w:val="24"/>
                <w:szCs w:val="24"/>
              </w:rPr>
            </w:pPr>
            <w:r>
              <w:rPr>
                <w:bCs/>
                <w:iCs/>
                <w:sz w:val="24"/>
                <w:szCs w:val="24"/>
              </w:rPr>
              <w:t>1,084</w:t>
            </w:r>
          </w:p>
        </w:tc>
        <w:tc>
          <w:tcPr>
            <w:tcW w:w="970" w:type="dxa"/>
            <w:vMerge w:val="restart"/>
            <w:vAlign w:val="center"/>
          </w:tcPr>
          <w:p>
            <w:pPr>
              <w:suppressAutoHyphens w:val="0"/>
              <w:autoSpaceDE w:val="0"/>
              <w:adjustRightInd w:val="0"/>
              <w:jc w:val="center"/>
              <w:textAlignment w:val="auto"/>
              <w:rPr>
                <w:bCs/>
                <w:iCs/>
                <w:sz w:val="24"/>
                <w:szCs w:val="24"/>
              </w:rPr>
            </w:pPr>
            <w:r>
              <w:rPr>
                <w:bCs/>
                <w:iCs/>
                <w:sz w:val="24"/>
                <w:szCs w:val="24"/>
              </w:rPr>
              <w:t>1</w:t>
            </w:r>
          </w:p>
        </w:tc>
        <w:tc>
          <w:tcPr>
            <w:tcW w:w="1015" w:type="dxa"/>
            <w:vMerge w:val="restart"/>
            <w:vAlign w:val="center"/>
          </w:tcPr>
          <w:p>
            <w:pPr>
              <w:suppressAutoHyphens w:val="0"/>
              <w:autoSpaceDE w:val="0"/>
              <w:adjustRightInd w:val="0"/>
              <w:jc w:val="center"/>
              <w:textAlignment w:val="auto"/>
              <w:rPr>
                <w:bCs/>
                <w:iCs/>
                <w:sz w:val="24"/>
                <w:szCs w:val="24"/>
              </w:rPr>
            </w:pPr>
            <w:r>
              <w:rPr>
                <w:bCs/>
                <w:iCs/>
                <w:sz w:val="24"/>
                <w:szCs w:val="24"/>
              </w:rPr>
              <w:t>0,126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75" w:type="dxa"/>
            <w:vMerge w:val="continue"/>
            <w:vAlign w:val="center"/>
          </w:tcPr>
          <w:p>
            <w:pPr>
              <w:suppressAutoHyphens w:val="0"/>
              <w:autoSpaceDE w:val="0"/>
              <w:adjustRightInd w:val="0"/>
              <w:jc w:val="center"/>
              <w:textAlignment w:val="auto"/>
              <w:rPr>
                <w:bCs/>
                <w:iCs/>
                <w:sz w:val="24"/>
                <w:szCs w:val="24"/>
              </w:rPr>
            </w:pPr>
          </w:p>
        </w:tc>
        <w:tc>
          <w:tcPr>
            <w:tcW w:w="1843" w:type="dxa"/>
            <w:vMerge w:val="continue"/>
            <w:vAlign w:val="center"/>
          </w:tcPr>
          <w:p>
            <w:pPr>
              <w:suppressAutoHyphens w:val="0"/>
              <w:autoSpaceDE w:val="0"/>
              <w:adjustRightInd w:val="0"/>
              <w:jc w:val="center"/>
              <w:textAlignment w:val="auto"/>
              <w:rPr>
                <w:bCs/>
                <w:iCs/>
                <w:sz w:val="24"/>
                <w:szCs w:val="24"/>
              </w:rPr>
            </w:pPr>
          </w:p>
        </w:tc>
        <w:tc>
          <w:tcPr>
            <w:tcW w:w="1134" w:type="dxa"/>
            <w:vMerge w:val="continue"/>
            <w:vAlign w:val="center"/>
          </w:tcPr>
          <w:p>
            <w:pPr>
              <w:suppressAutoHyphens w:val="0"/>
              <w:autoSpaceDE w:val="0"/>
              <w:adjustRightInd w:val="0"/>
              <w:jc w:val="center"/>
              <w:textAlignment w:val="auto"/>
              <w:rPr>
                <w:bCs/>
                <w:iCs/>
                <w:sz w:val="24"/>
                <w:szCs w:val="24"/>
              </w:rPr>
            </w:pPr>
          </w:p>
        </w:tc>
        <w:tc>
          <w:tcPr>
            <w:tcW w:w="709" w:type="dxa"/>
            <w:vAlign w:val="center"/>
          </w:tcPr>
          <w:p>
            <w:pPr>
              <w:suppressAutoHyphens w:val="0"/>
              <w:autoSpaceDE w:val="0"/>
              <w:adjustRightInd w:val="0"/>
              <w:jc w:val="center"/>
              <w:textAlignment w:val="auto"/>
              <w:rPr>
                <w:bCs/>
                <w:iCs/>
                <w:sz w:val="24"/>
                <w:szCs w:val="24"/>
              </w:rPr>
            </w:pPr>
            <w:r>
              <w:rPr>
                <w:bCs/>
                <w:iCs/>
                <w:sz w:val="24"/>
                <w:szCs w:val="24"/>
              </w:rPr>
              <w:t>2</w:t>
            </w:r>
          </w:p>
        </w:tc>
        <w:tc>
          <w:tcPr>
            <w:tcW w:w="1701" w:type="dxa"/>
            <w:vAlign w:val="center"/>
          </w:tcPr>
          <w:p>
            <w:pPr>
              <w:suppressAutoHyphens w:val="0"/>
              <w:autoSpaceDE w:val="0"/>
              <w:adjustRightInd w:val="0"/>
              <w:jc w:val="center"/>
              <w:textAlignment w:val="auto"/>
              <w:rPr>
                <w:bCs/>
                <w:iCs/>
                <w:sz w:val="24"/>
                <w:szCs w:val="24"/>
              </w:rPr>
            </w:pPr>
            <w:r>
              <w:rPr>
                <w:bCs/>
                <w:iCs/>
                <w:sz w:val="24"/>
                <w:szCs w:val="24"/>
              </w:rPr>
              <w:t>КСВ-0,63ЛЖ</w:t>
            </w:r>
          </w:p>
        </w:tc>
        <w:tc>
          <w:tcPr>
            <w:tcW w:w="1187" w:type="dxa"/>
            <w:vMerge w:val="continue"/>
            <w:vAlign w:val="center"/>
          </w:tcPr>
          <w:p>
            <w:pPr>
              <w:suppressAutoHyphens w:val="0"/>
              <w:autoSpaceDE w:val="0"/>
              <w:adjustRightInd w:val="0"/>
              <w:jc w:val="center"/>
              <w:textAlignment w:val="auto"/>
              <w:rPr>
                <w:bCs/>
                <w:iCs/>
                <w:sz w:val="24"/>
                <w:szCs w:val="24"/>
              </w:rPr>
            </w:pPr>
          </w:p>
        </w:tc>
        <w:tc>
          <w:tcPr>
            <w:tcW w:w="850" w:type="dxa"/>
            <w:vMerge w:val="continue"/>
            <w:vAlign w:val="center"/>
          </w:tcPr>
          <w:p>
            <w:pPr>
              <w:suppressAutoHyphens w:val="0"/>
              <w:autoSpaceDE w:val="0"/>
              <w:adjustRightInd w:val="0"/>
              <w:jc w:val="center"/>
              <w:textAlignment w:val="auto"/>
              <w:rPr>
                <w:bCs/>
                <w:iCs/>
                <w:sz w:val="24"/>
                <w:szCs w:val="24"/>
              </w:rPr>
            </w:pPr>
          </w:p>
        </w:tc>
        <w:tc>
          <w:tcPr>
            <w:tcW w:w="970" w:type="dxa"/>
            <w:vMerge w:val="continue"/>
            <w:vAlign w:val="center"/>
          </w:tcPr>
          <w:p>
            <w:pPr>
              <w:suppressAutoHyphens w:val="0"/>
              <w:autoSpaceDE w:val="0"/>
              <w:adjustRightInd w:val="0"/>
              <w:jc w:val="center"/>
              <w:textAlignment w:val="auto"/>
              <w:rPr>
                <w:bCs/>
                <w:iCs/>
                <w:sz w:val="24"/>
                <w:szCs w:val="24"/>
              </w:rPr>
            </w:pPr>
          </w:p>
        </w:tc>
        <w:tc>
          <w:tcPr>
            <w:tcW w:w="1015" w:type="dxa"/>
            <w:vMerge w:val="continue"/>
            <w:vAlign w:val="center"/>
          </w:tcPr>
          <w:p>
            <w:pPr>
              <w:suppressAutoHyphens w:val="0"/>
              <w:autoSpaceDE w:val="0"/>
              <w:adjustRightInd w:val="0"/>
              <w:jc w:val="center"/>
              <w:textAlignment w:val="auto"/>
              <w:rPr>
                <w:bCs/>
                <w:i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75" w:type="dxa"/>
            <w:vMerge w:val="restart"/>
            <w:vAlign w:val="center"/>
          </w:tcPr>
          <w:p>
            <w:pPr>
              <w:suppressAutoHyphens w:val="0"/>
              <w:autoSpaceDE w:val="0"/>
              <w:adjustRightInd w:val="0"/>
              <w:jc w:val="center"/>
              <w:textAlignment w:val="auto"/>
              <w:rPr>
                <w:bCs/>
                <w:iCs/>
                <w:sz w:val="24"/>
                <w:szCs w:val="24"/>
              </w:rPr>
            </w:pPr>
            <w:r>
              <w:rPr>
                <w:bCs/>
                <w:iCs/>
                <w:sz w:val="24"/>
                <w:szCs w:val="24"/>
              </w:rPr>
              <w:t>3</w:t>
            </w:r>
          </w:p>
        </w:tc>
        <w:tc>
          <w:tcPr>
            <w:tcW w:w="1843" w:type="dxa"/>
            <w:vMerge w:val="restart"/>
            <w:vAlign w:val="center"/>
          </w:tcPr>
          <w:p>
            <w:pPr>
              <w:suppressAutoHyphens w:val="0"/>
              <w:autoSpaceDE w:val="0"/>
              <w:adjustRightInd w:val="0"/>
              <w:jc w:val="center"/>
              <w:textAlignment w:val="auto"/>
              <w:rPr>
                <w:bCs/>
                <w:iCs/>
                <w:sz w:val="24"/>
                <w:szCs w:val="24"/>
              </w:rPr>
            </w:pPr>
            <w:r>
              <w:rPr>
                <w:bCs/>
                <w:iCs/>
                <w:sz w:val="24"/>
                <w:szCs w:val="24"/>
              </w:rPr>
              <w:t>Котельная  ГОУ «Тормосиновская ШИ ДСиДОБПР»</w:t>
            </w:r>
          </w:p>
        </w:tc>
        <w:tc>
          <w:tcPr>
            <w:tcW w:w="1134" w:type="dxa"/>
            <w:vMerge w:val="restart"/>
            <w:vAlign w:val="center"/>
          </w:tcPr>
          <w:p>
            <w:pPr>
              <w:jc w:val="center"/>
              <w:rPr>
                <w:sz w:val="24"/>
                <w:szCs w:val="24"/>
              </w:rPr>
            </w:pPr>
            <w:r>
              <w:rPr>
                <w:sz w:val="24"/>
                <w:szCs w:val="24"/>
              </w:rPr>
              <w:t>х. Тор-мосин</w:t>
            </w:r>
          </w:p>
        </w:tc>
        <w:tc>
          <w:tcPr>
            <w:tcW w:w="709" w:type="dxa"/>
            <w:vAlign w:val="center"/>
          </w:tcPr>
          <w:p>
            <w:pPr>
              <w:suppressAutoHyphens w:val="0"/>
              <w:autoSpaceDE w:val="0"/>
              <w:adjustRightInd w:val="0"/>
              <w:jc w:val="center"/>
              <w:textAlignment w:val="auto"/>
              <w:rPr>
                <w:bCs/>
                <w:iCs/>
                <w:sz w:val="24"/>
                <w:szCs w:val="24"/>
              </w:rPr>
            </w:pPr>
            <w:r>
              <w:rPr>
                <w:bCs/>
                <w:iCs/>
                <w:sz w:val="24"/>
                <w:szCs w:val="24"/>
              </w:rPr>
              <w:t>1</w:t>
            </w:r>
          </w:p>
        </w:tc>
        <w:tc>
          <w:tcPr>
            <w:tcW w:w="1701" w:type="dxa"/>
            <w:vAlign w:val="center"/>
          </w:tcPr>
          <w:p>
            <w:pPr>
              <w:suppressAutoHyphens w:val="0"/>
              <w:autoSpaceDE w:val="0"/>
              <w:adjustRightInd w:val="0"/>
              <w:jc w:val="center"/>
              <w:textAlignment w:val="auto"/>
              <w:rPr>
                <w:bCs/>
                <w:iCs/>
                <w:sz w:val="24"/>
                <w:szCs w:val="24"/>
              </w:rPr>
            </w:pPr>
            <w:r>
              <w:rPr>
                <w:bCs/>
                <w:iCs/>
                <w:sz w:val="24"/>
                <w:szCs w:val="24"/>
              </w:rPr>
              <w:t>Универсал-5м</w:t>
            </w:r>
          </w:p>
          <w:p>
            <w:pPr>
              <w:suppressAutoHyphens w:val="0"/>
              <w:autoSpaceDE w:val="0"/>
              <w:adjustRightInd w:val="0"/>
              <w:jc w:val="center"/>
              <w:textAlignment w:val="auto"/>
              <w:rPr>
                <w:bCs/>
                <w:iCs/>
                <w:sz w:val="24"/>
                <w:szCs w:val="24"/>
              </w:rPr>
            </w:pPr>
          </w:p>
        </w:tc>
        <w:tc>
          <w:tcPr>
            <w:tcW w:w="1187" w:type="dxa"/>
            <w:vMerge w:val="restart"/>
            <w:vAlign w:val="center"/>
          </w:tcPr>
          <w:p>
            <w:pPr>
              <w:suppressAutoHyphens w:val="0"/>
              <w:autoSpaceDE w:val="0"/>
              <w:adjustRightInd w:val="0"/>
              <w:jc w:val="center"/>
              <w:textAlignment w:val="auto"/>
              <w:rPr>
                <w:bCs/>
                <w:iCs/>
                <w:sz w:val="24"/>
                <w:szCs w:val="24"/>
              </w:rPr>
            </w:pPr>
            <w:r>
              <w:rPr>
                <w:bCs/>
                <w:iCs/>
                <w:sz w:val="24"/>
                <w:szCs w:val="24"/>
              </w:rPr>
              <w:t>0,150</w:t>
            </w:r>
          </w:p>
        </w:tc>
        <w:tc>
          <w:tcPr>
            <w:tcW w:w="850" w:type="dxa"/>
            <w:vMerge w:val="restart"/>
            <w:vAlign w:val="center"/>
          </w:tcPr>
          <w:p>
            <w:pPr>
              <w:suppressAutoHyphens w:val="0"/>
              <w:autoSpaceDE w:val="0"/>
              <w:adjustRightInd w:val="0"/>
              <w:jc w:val="center"/>
              <w:textAlignment w:val="auto"/>
              <w:rPr>
                <w:bCs/>
                <w:iCs/>
                <w:sz w:val="24"/>
                <w:szCs w:val="24"/>
              </w:rPr>
            </w:pPr>
            <w:r>
              <w:rPr>
                <w:bCs/>
                <w:iCs/>
                <w:sz w:val="24"/>
                <w:szCs w:val="24"/>
              </w:rPr>
              <w:t>0,540</w:t>
            </w:r>
          </w:p>
        </w:tc>
        <w:tc>
          <w:tcPr>
            <w:tcW w:w="970" w:type="dxa"/>
            <w:vMerge w:val="restart"/>
            <w:vAlign w:val="center"/>
          </w:tcPr>
          <w:p>
            <w:pPr>
              <w:suppressAutoHyphens w:val="0"/>
              <w:autoSpaceDE w:val="0"/>
              <w:adjustRightInd w:val="0"/>
              <w:jc w:val="center"/>
              <w:textAlignment w:val="auto"/>
              <w:rPr>
                <w:bCs/>
                <w:iCs/>
                <w:sz w:val="24"/>
                <w:szCs w:val="24"/>
              </w:rPr>
            </w:pPr>
            <w:r>
              <w:rPr>
                <w:bCs/>
                <w:iCs/>
                <w:sz w:val="24"/>
                <w:szCs w:val="24"/>
              </w:rPr>
              <w:t>1</w:t>
            </w:r>
          </w:p>
        </w:tc>
        <w:tc>
          <w:tcPr>
            <w:tcW w:w="1015" w:type="dxa"/>
            <w:vMerge w:val="restart"/>
            <w:vAlign w:val="center"/>
          </w:tcPr>
          <w:p>
            <w:pPr>
              <w:suppressAutoHyphens w:val="0"/>
              <w:autoSpaceDE w:val="0"/>
              <w:adjustRightInd w:val="0"/>
              <w:jc w:val="center"/>
              <w:textAlignment w:val="auto"/>
              <w:rPr>
                <w:bCs/>
                <w:iCs/>
                <w:sz w:val="24"/>
                <w:szCs w:val="24"/>
              </w:rPr>
            </w:pPr>
            <w:r>
              <w:rPr>
                <w:bCs/>
                <w:iCs/>
                <w:sz w:val="24"/>
                <w:szCs w:val="24"/>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75" w:type="dxa"/>
            <w:vMerge w:val="continue"/>
            <w:vAlign w:val="center"/>
          </w:tcPr>
          <w:p>
            <w:pPr>
              <w:suppressAutoHyphens w:val="0"/>
              <w:autoSpaceDE w:val="0"/>
              <w:adjustRightInd w:val="0"/>
              <w:jc w:val="center"/>
              <w:textAlignment w:val="auto"/>
              <w:rPr>
                <w:bCs/>
                <w:iCs/>
              </w:rPr>
            </w:pPr>
          </w:p>
        </w:tc>
        <w:tc>
          <w:tcPr>
            <w:tcW w:w="1843" w:type="dxa"/>
            <w:vMerge w:val="continue"/>
            <w:vAlign w:val="center"/>
          </w:tcPr>
          <w:p>
            <w:pPr>
              <w:suppressAutoHyphens w:val="0"/>
              <w:autoSpaceDE w:val="0"/>
              <w:adjustRightInd w:val="0"/>
              <w:jc w:val="center"/>
              <w:textAlignment w:val="auto"/>
              <w:rPr>
                <w:bCs/>
                <w:iCs/>
              </w:rPr>
            </w:pPr>
          </w:p>
        </w:tc>
        <w:tc>
          <w:tcPr>
            <w:tcW w:w="1134" w:type="dxa"/>
            <w:vMerge w:val="continue"/>
            <w:vAlign w:val="center"/>
          </w:tcPr>
          <w:p>
            <w:pPr>
              <w:suppressAutoHyphens w:val="0"/>
              <w:autoSpaceDE w:val="0"/>
              <w:adjustRightInd w:val="0"/>
              <w:jc w:val="center"/>
              <w:textAlignment w:val="auto"/>
              <w:rPr>
                <w:bCs/>
                <w:iCs/>
              </w:rPr>
            </w:pPr>
          </w:p>
        </w:tc>
        <w:tc>
          <w:tcPr>
            <w:tcW w:w="709" w:type="dxa"/>
            <w:vAlign w:val="center"/>
          </w:tcPr>
          <w:p>
            <w:pPr>
              <w:suppressAutoHyphens w:val="0"/>
              <w:autoSpaceDE w:val="0"/>
              <w:adjustRightInd w:val="0"/>
              <w:jc w:val="center"/>
              <w:textAlignment w:val="auto"/>
              <w:rPr>
                <w:bCs/>
                <w:iCs/>
              </w:rPr>
            </w:pPr>
            <w:r>
              <w:rPr>
                <w:bCs/>
                <w:iCs/>
              </w:rPr>
              <w:t>2</w:t>
            </w:r>
          </w:p>
        </w:tc>
        <w:tc>
          <w:tcPr>
            <w:tcW w:w="1701" w:type="dxa"/>
            <w:vAlign w:val="center"/>
          </w:tcPr>
          <w:p>
            <w:pPr>
              <w:suppressAutoHyphens w:val="0"/>
              <w:autoSpaceDE w:val="0"/>
              <w:adjustRightInd w:val="0"/>
              <w:jc w:val="center"/>
              <w:textAlignment w:val="auto"/>
              <w:rPr>
                <w:bCs/>
                <w:iCs/>
                <w:sz w:val="24"/>
                <w:szCs w:val="24"/>
              </w:rPr>
            </w:pPr>
            <w:r>
              <w:rPr>
                <w:bCs/>
                <w:iCs/>
                <w:sz w:val="24"/>
                <w:szCs w:val="24"/>
              </w:rPr>
              <w:t>Универсал-5м</w:t>
            </w:r>
          </w:p>
          <w:p>
            <w:pPr>
              <w:suppressAutoHyphens w:val="0"/>
              <w:autoSpaceDE w:val="0"/>
              <w:adjustRightInd w:val="0"/>
              <w:jc w:val="center"/>
              <w:textAlignment w:val="auto"/>
              <w:rPr>
                <w:bCs/>
                <w:iCs/>
                <w:sz w:val="24"/>
                <w:szCs w:val="24"/>
              </w:rPr>
            </w:pPr>
          </w:p>
        </w:tc>
        <w:tc>
          <w:tcPr>
            <w:tcW w:w="1187" w:type="dxa"/>
            <w:vMerge w:val="continue"/>
            <w:vAlign w:val="center"/>
          </w:tcPr>
          <w:p>
            <w:pPr>
              <w:suppressAutoHyphens w:val="0"/>
              <w:autoSpaceDE w:val="0"/>
              <w:adjustRightInd w:val="0"/>
              <w:jc w:val="center"/>
              <w:textAlignment w:val="auto"/>
              <w:rPr>
                <w:bCs/>
                <w:iCs/>
                <w:sz w:val="24"/>
                <w:szCs w:val="24"/>
              </w:rPr>
            </w:pPr>
          </w:p>
        </w:tc>
        <w:tc>
          <w:tcPr>
            <w:tcW w:w="850" w:type="dxa"/>
            <w:vMerge w:val="continue"/>
            <w:vAlign w:val="center"/>
          </w:tcPr>
          <w:p>
            <w:pPr>
              <w:suppressAutoHyphens w:val="0"/>
              <w:autoSpaceDE w:val="0"/>
              <w:adjustRightInd w:val="0"/>
              <w:jc w:val="center"/>
              <w:textAlignment w:val="auto"/>
              <w:rPr>
                <w:bCs/>
                <w:iCs/>
              </w:rPr>
            </w:pPr>
          </w:p>
        </w:tc>
        <w:tc>
          <w:tcPr>
            <w:tcW w:w="970" w:type="dxa"/>
            <w:vMerge w:val="continue"/>
            <w:vAlign w:val="center"/>
          </w:tcPr>
          <w:p>
            <w:pPr>
              <w:suppressAutoHyphens w:val="0"/>
              <w:autoSpaceDE w:val="0"/>
              <w:adjustRightInd w:val="0"/>
              <w:jc w:val="center"/>
              <w:textAlignment w:val="auto"/>
              <w:rPr>
                <w:bCs/>
                <w:iCs/>
              </w:rPr>
            </w:pPr>
          </w:p>
        </w:tc>
        <w:tc>
          <w:tcPr>
            <w:tcW w:w="1015" w:type="dxa"/>
            <w:vMerge w:val="continue"/>
            <w:vAlign w:val="center"/>
          </w:tcPr>
          <w:p>
            <w:pPr>
              <w:suppressAutoHyphens w:val="0"/>
              <w:autoSpaceDE w:val="0"/>
              <w:adjustRightInd w:val="0"/>
              <w:jc w:val="center"/>
              <w:textAlignment w:val="auto"/>
              <w:rPr>
                <w:bCs/>
                <w:i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75" w:type="dxa"/>
            <w:vMerge w:val="continue"/>
            <w:vAlign w:val="center"/>
          </w:tcPr>
          <w:p>
            <w:pPr>
              <w:suppressAutoHyphens w:val="0"/>
              <w:autoSpaceDE w:val="0"/>
              <w:adjustRightInd w:val="0"/>
              <w:jc w:val="center"/>
              <w:textAlignment w:val="auto"/>
              <w:rPr>
                <w:bCs/>
                <w:iCs/>
              </w:rPr>
            </w:pPr>
          </w:p>
        </w:tc>
        <w:tc>
          <w:tcPr>
            <w:tcW w:w="1843" w:type="dxa"/>
            <w:vMerge w:val="continue"/>
            <w:vAlign w:val="center"/>
          </w:tcPr>
          <w:p>
            <w:pPr>
              <w:suppressAutoHyphens w:val="0"/>
              <w:autoSpaceDE w:val="0"/>
              <w:adjustRightInd w:val="0"/>
              <w:jc w:val="center"/>
              <w:textAlignment w:val="auto"/>
              <w:rPr>
                <w:bCs/>
                <w:iCs/>
              </w:rPr>
            </w:pPr>
          </w:p>
        </w:tc>
        <w:tc>
          <w:tcPr>
            <w:tcW w:w="1134" w:type="dxa"/>
            <w:vMerge w:val="continue"/>
            <w:vAlign w:val="center"/>
          </w:tcPr>
          <w:p>
            <w:pPr>
              <w:suppressAutoHyphens w:val="0"/>
              <w:autoSpaceDE w:val="0"/>
              <w:adjustRightInd w:val="0"/>
              <w:jc w:val="center"/>
              <w:textAlignment w:val="auto"/>
              <w:rPr>
                <w:bCs/>
                <w:iCs/>
              </w:rPr>
            </w:pPr>
          </w:p>
        </w:tc>
        <w:tc>
          <w:tcPr>
            <w:tcW w:w="709" w:type="dxa"/>
            <w:vAlign w:val="center"/>
          </w:tcPr>
          <w:p>
            <w:pPr>
              <w:suppressAutoHyphens w:val="0"/>
              <w:autoSpaceDE w:val="0"/>
              <w:adjustRightInd w:val="0"/>
              <w:jc w:val="center"/>
              <w:textAlignment w:val="auto"/>
              <w:rPr>
                <w:bCs/>
                <w:iCs/>
              </w:rPr>
            </w:pPr>
            <w:r>
              <w:rPr>
                <w:bCs/>
                <w:iCs/>
              </w:rPr>
              <w:t>3</w:t>
            </w:r>
          </w:p>
        </w:tc>
        <w:tc>
          <w:tcPr>
            <w:tcW w:w="1701" w:type="dxa"/>
            <w:vAlign w:val="center"/>
          </w:tcPr>
          <w:p>
            <w:pPr>
              <w:suppressAutoHyphens w:val="0"/>
              <w:autoSpaceDE w:val="0"/>
              <w:adjustRightInd w:val="0"/>
              <w:jc w:val="center"/>
              <w:textAlignment w:val="auto"/>
              <w:rPr>
                <w:bCs/>
                <w:iCs/>
                <w:sz w:val="24"/>
                <w:szCs w:val="24"/>
              </w:rPr>
            </w:pPr>
            <w:r>
              <w:rPr>
                <w:bCs/>
                <w:iCs/>
                <w:sz w:val="24"/>
                <w:szCs w:val="24"/>
              </w:rPr>
              <w:t>КВР-0,25</w:t>
            </w:r>
          </w:p>
        </w:tc>
        <w:tc>
          <w:tcPr>
            <w:tcW w:w="1187" w:type="dxa"/>
            <w:vMerge w:val="continue"/>
            <w:vAlign w:val="center"/>
          </w:tcPr>
          <w:p>
            <w:pPr>
              <w:suppressAutoHyphens w:val="0"/>
              <w:autoSpaceDE w:val="0"/>
              <w:adjustRightInd w:val="0"/>
              <w:jc w:val="center"/>
              <w:textAlignment w:val="auto"/>
              <w:rPr>
                <w:bCs/>
                <w:iCs/>
                <w:sz w:val="24"/>
                <w:szCs w:val="24"/>
              </w:rPr>
            </w:pPr>
          </w:p>
        </w:tc>
        <w:tc>
          <w:tcPr>
            <w:tcW w:w="850" w:type="dxa"/>
            <w:vMerge w:val="continue"/>
            <w:vAlign w:val="center"/>
          </w:tcPr>
          <w:p>
            <w:pPr>
              <w:suppressAutoHyphens w:val="0"/>
              <w:autoSpaceDE w:val="0"/>
              <w:adjustRightInd w:val="0"/>
              <w:jc w:val="center"/>
              <w:textAlignment w:val="auto"/>
              <w:rPr>
                <w:bCs/>
                <w:iCs/>
              </w:rPr>
            </w:pPr>
          </w:p>
        </w:tc>
        <w:tc>
          <w:tcPr>
            <w:tcW w:w="970" w:type="dxa"/>
            <w:vMerge w:val="continue"/>
            <w:vAlign w:val="center"/>
          </w:tcPr>
          <w:p>
            <w:pPr>
              <w:suppressAutoHyphens w:val="0"/>
              <w:autoSpaceDE w:val="0"/>
              <w:adjustRightInd w:val="0"/>
              <w:jc w:val="center"/>
              <w:textAlignment w:val="auto"/>
              <w:rPr>
                <w:bCs/>
                <w:iCs/>
              </w:rPr>
            </w:pPr>
          </w:p>
        </w:tc>
        <w:tc>
          <w:tcPr>
            <w:tcW w:w="1015" w:type="dxa"/>
            <w:vMerge w:val="continue"/>
            <w:vAlign w:val="center"/>
          </w:tcPr>
          <w:p>
            <w:pPr>
              <w:suppressAutoHyphens w:val="0"/>
              <w:autoSpaceDE w:val="0"/>
              <w:adjustRightInd w:val="0"/>
              <w:jc w:val="center"/>
              <w:textAlignment w:val="auto"/>
              <w:rPr>
                <w:bCs/>
                <w:iCs/>
              </w:rPr>
            </w:pPr>
          </w:p>
        </w:tc>
      </w:tr>
    </w:tbl>
    <w:p>
      <w:pPr>
        <w:suppressAutoHyphens w:val="0"/>
        <w:autoSpaceDE w:val="0"/>
        <w:adjustRightInd w:val="0"/>
        <w:jc w:val="both"/>
        <w:textAlignment w:val="auto"/>
        <w:rPr>
          <w:bCs/>
          <w:iCs/>
        </w:rPr>
      </w:pPr>
    </w:p>
    <w:p>
      <w:pPr>
        <w:jc w:val="both"/>
        <w:rPr>
          <w:sz w:val="28"/>
          <w:szCs w:val="28"/>
        </w:rPr>
      </w:pPr>
      <w:r>
        <w:rPr>
          <w:sz w:val="28"/>
          <w:szCs w:val="28"/>
        </w:rPr>
        <w:t xml:space="preserve">     В силу компактного расположения объектов теплопотребления, а также незначительной величине присоединенной нагрузки, в зоне действия отопительной котельной, обеспечение теплом присоединенных потребителей происходит с помощью теплового пункта  находящегося в котельной. Отопительная котельная №2 в х.Тормосин была построена в 2003 году. Для нагрева теплоносителя в котельной установлены 3 шт. водогрейных горизонтальных жаротрубных котла Stawane 250, который имеет следующие характеристики:</w:t>
      </w:r>
    </w:p>
    <w:p>
      <w:pPr>
        <w:jc w:val="both"/>
        <w:rPr>
          <w:sz w:val="28"/>
          <w:szCs w:val="28"/>
        </w:rPr>
      </w:pPr>
    </w:p>
    <w:p>
      <w:pPr>
        <w:jc w:val="both"/>
        <w:rPr>
          <w:sz w:val="28"/>
          <w:szCs w:val="28"/>
        </w:rPr>
      </w:pPr>
    </w:p>
    <w:tbl>
      <w:tblPr>
        <w:tblStyle w:val="45"/>
        <w:tblW w:w="960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763"/>
        <w:gridCol w:w="184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7763" w:type="dxa"/>
            <w:vAlign w:val="bottom"/>
          </w:tcPr>
          <w:p>
            <w:pPr>
              <w:suppressAutoHyphens w:val="0"/>
              <w:autoSpaceDN w:val="0"/>
              <w:textAlignment w:val="baseline"/>
              <w:rPr>
                <w:sz w:val="28"/>
                <w:szCs w:val="28"/>
              </w:rPr>
            </w:pPr>
            <w:r>
              <w:rPr>
                <w:sz w:val="28"/>
                <w:szCs w:val="28"/>
              </w:rPr>
              <w:t>1. Номинальная теплопроизводительность, кВт</w:t>
            </w:r>
          </w:p>
        </w:tc>
        <w:tc>
          <w:tcPr>
            <w:tcW w:w="1843" w:type="dxa"/>
            <w:vAlign w:val="bottom"/>
          </w:tcPr>
          <w:p>
            <w:pPr>
              <w:suppressAutoHyphens w:val="0"/>
              <w:autoSpaceDN w:val="0"/>
              <w:textAlignment w:val="baseline"/>
              <w:rPr>
                <w:sz w:val="28"/>
                <w:szCs w:val="28"/>
              </w:rPr>
            </w:pPr>
            <w:r>
              <w:rPr>
                <w:sz w:val="28"/>
                <w:szCs w:val="28"/>
              </w:rPr>
              <w:t>250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7763" w:type="dxa"/>
            <w:vAlign w:val="bottom"/>
          </w:tcPr>
          <w:p>
            <w:pPr>
              <w:suppressAutoHyphens w:val="0"/>
              <w:autoSpaceDN w:val="0"/>
              <w:textAlignment w:val="baseline"/>
              <w:rPr>
                <w:sz w:val="28"/>
                <w:szCs w:val="28"/>
              </w:rPr>
            </w:pPr>
            <w:r>
              <w:rPr>
                <w:sz w:val="28"/>
                <w:szCs w:val="28"/>
              </w:rPr>
              <w:t>2. КПД, %, не менее</w:t>
            </w:r>
          </w:p>
        </w:tc>
        <w:tc>
          <w:tcPr>
            <w:tcW w:w="1843" w:type="dxa"/>
            <w:vAlign w:val="bottom"/>
          </w:tcPr>
          <w:p>
            <w:pPr>
              <w:suppressAutoHyphens w:val="0"/>
              <w:autoSpaceDN w:val="0"/>
              <w:textAlignment w:val="baseline"/>
              <w:rPr>
                <w:sz w:val="28"/>
                <w:szCs w:val="28"/>
              </w:rPr>
            </w:pPr>
            <w:r>
              <w:rPr>
                <w:sz w:val="28"/>
                <w:szCs w:val="28"/>
              </w:rPr>
              <w:t>90,0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7763" w:type="dxa"/>
            <w:vAlign w:val="bottom"/>
          </w:tcPr>
          <w:p>
            <w:pPr>
              <w:suppressAutoHyphens w:val="0"/>
              <w:autoSpaceDN w:val="0"/>
              <w:textAlignment w:val="baseline"/>
              <w:rPr>
                <w:sz w:val="28"/>
                <w:szCs w:val="28"/>
              </w:rPr>
            </w:pPr>
            <w:r>
              <w:rPr>
                <w:sz w:val="28"/>
                <w:szCs w:val="28"/>
              </w:rPr>
              <w:t>3. Рабочее давление воды в котле, МПа (кгс/см</w:t>
            </w:r>
            <w:r>
              <w:rPr>
                <w:sz w:val="28"/>
                <w:szCs w:val="28"/>
                <w:vertAlign w:val="superscript"/>
              </w:rPr>
              <w:t>2</w:t>
            </w:r>
            <w:r>
              <w:rPr>
                <w:sz w:val="28"/>
                <w:szCs w:val="28"/>
              </w:rPr>
              <w:t>)</w:t>
            </w:r>
          </w:p>
        </w:tc>
        <w:tc>
          <w:tcPr>
            <w:tcW w:w="1843" w:type="dxa"/>
            <w:vAlign w:val="bottom"/>
          </w:tcPr>
          <w:p>
            <w:pPr>
              <w:suppressAutoHyphens w:val="0"/>
              <w:autoSpaceDN w:val="0"/>
              <w:textAlignment w:val="baseline"/>
              <w:rPr>
                <w:sz w:val="28"/>
                <w:szCs w:val="28"/>
              </w:rPr>
            </w:pPr>
            <w:r>
              <w:rPr>
                <w:sz w:val="28"/>
                <w:szCs w:val="28"/>
              </w:rPr>
              <w:t>0,5 (5,0)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7763" w:type="dxa"/>
            <w:vAlign w:val="bottom"/>
          </w:tcPr>
          <w:p>
            <w:pPr>
              <w:suppressAutoHyphens w:val="0"/>
              <w:autoSpaceDN w:val="0"/>
              <w:textAlignment w:val="baseline"/>
              <w:rPr>
                <w:sz w:val="28"/>
                <w:szCs w:val="28"/>
              </w:rPr>
            </w:pPr>
            <w:r>
              <w:rPr>
                <w:sz w:val="28"/>
                <w:szCs w:val="28"/>
              </w:rPr>
              <w:t>4. Максимальная температура воды на выходе из котла, </w:t>
            </w:r>
            <w:r>
              <w:rPr>
                <w:sz w:val="28"/>
                <w:szCs w:val="28"/>
              </w:rPr>
              <w:t>°С</w:t>
            </w:r>
          </w:p>
        </w:tc>
        <w:tc>
          <w:tcPr>
            <w:tcW w:w="1843" w:type="dxa"/>
            <w:vAlign w:val="bottom"/>
          </w:tcPr>
          <w:p>
            <w:pPr>
              <w:suppressAutoHyphens w:val="0"/>
              <w:autoSpaceDN w:val="0"/>
              <w:textAlignment w:val="baseline"/>
              <w:rPr>
                <w:sz w:val="28"/>
                <w:szCs w:val="28"/>
              </w:rPr>
            </w:pPr>
            <w:r>
              <w:rPr>
                <w:sz w:val="28"/>
                <w:szCs w:val="28"/>
              </w:rPr>
              <w:t>115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7763" w:type="dxa"/>
            <w:vAlign w:val="bottom"/>
          </w:tcPr>
          <w:p>
            <w:pPr>
              <w:suppressAutoHyphens w:val="0"/>
              <w:autoSpaceDN w:val="0"/>
              <w:textAlignment w:val="baseline"/>
              <w:rPr>
                <w:sz w:val="28"/>
                <w:szCs w:val="28"/>
              </w:rPr>
            </w:pPr>
            <w:r>
              <w:rPr>
                <w:sz w:val="28"/>
                <w:szCs w:val="28"/>
              </w:rPr>
              <w:t>5. Номинальный расход воды, м </w:t>
            </w:r>
            <w:r>
              <w:rPr>
                <w:sz w:val="28"/>
                <w:szCs w:val="28"/>
                <w:vertAlign w:val="superscript"/>
              </w:rPr>
              <w:t>3</w:t>
            </w:r>
            <w:r>
              <w:rPr>
                <w:sz w:val="28"/>
                <w:szCs w:val="28"/>
              </w:rPr>
              <w:t>/час, при Δt=20 </w:t>
            </w:r>
            <w:r>
              <w:rPr>
                <w:sz w:val="28"/>
                <w:szCs w:val="28"/>
              </w:rPr>
              <w:t>°С</w:t>
            </w:r>
          </w:p>
        </w:tc>
        <w:tc>
          <w:tcPr>
            <w:tcW w:w="1843" w:type="dxa"/>
            <w:vAlign w:val="bottom"/>
          </w:tcPr>
          <w:p>
            <w:pPr>
              <w:suppressAutoHyphens w:val="0"/>
              <w:autoSpaceDN w:val="0"/>
              <w:textAlignment w:val="baseline"/>
              <w:rPr>
                <w:sz w:val="28"/>
                <w:szCs w:val="28"/>
              </w:rPr>
            </w:pPr>
            <w:r>
              <w:rPr>
                <w:sz w:val="28"/>
                <w:szCs w:val="28"/>
              </w:rPr>
              <w:t>10,8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7763" w:type="dxa"/>
            <w:vAlign w:val="bottom"/>
          </w:tcPr>
          <w:p>
            <w:pPr>
              <w:suppressAutoHyphens w:val="0"/>
              <w:autoSpaceDN w:val="0"/>
              <w:textAlignment w:val="baseline"/>
              <w:rPr>
                <w:sz w:val="28"/>
                <w:szCs w:val="28"/>
              </w:rPr>
            </w:pPr>
            <w:r>
              <w:rPr>
                <w:sz w:val="28"/>
                <w:szCs w:val="28"/>
              </w:rPr>
              <w:t>6. Минимальный расход воды, м </w:t>
            </w:r>
            <w:r>
              <w:rPr>
                <w:sz w:val="28"/>
                <w:szCs w:val="28"/>
                <w:vertAlign w:val="superscript"/>
              </w:rPr>
              <w:t>3</w:t>
            </w:r>
            <w:r>
              <w:rPr>
                <w:sz w:val="28"/>
                <w:szCs w:val="28"/>
              </w:rPr>
              <w:t>/час, при Δt=35 </w:t>
            </w:r>
            <w:r>
              <w:rPr>
                <w:sz w:val="28"/>
                <w:szCs w:val="28"/>
              </w:rPr>
              <w:t>°С</w:t>
            </w:r>
          </w:p>
        </w:tc>
        <w:tc>
          <w:tcPr>
            <w:tcW w:w="1843" w:type="dxa"/>
            <w:vAlign w:val="bottom"/>
          </w:tcPr>
          <w:p>
            <w:pPr>
              <w:suppressAutoHyphens w:val="0"/>
              <w:autoSpaceDN w:val="0"/>
              <w:textAlignment w:val="baseline"/>
              <w:rPr>
                <w:sz w:val="28"/>
                <w:szCs w:val="28"/>
              </w:rPr>
            </w:pPr>
            <w:r>
              <w:rPr>
                <w:sz w:val="28"/>
                <w:szCs w:val="28"/>
              </w:rPr>
              <w:t>6,1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7763" w:type="dxa"/>
            <w:vAlign w:val="bottom"/>
          </w:tcPr>
          <w:p>
            <w:pPr>
              <w:suppressAutoHyphens w:val="0"/>
              <w:autoSpaceDN w:val="0"/>
              <w:textAlignment w:val="baseline"/>
              <w:rPr>
                <w:sz w:val="28"/>
                <w:szCs w:val="28"/>
              </w:rPr>
            </w:pPr>
            <w:r>
              <w:rPr>
                <w:sz w:val="28"/>
                <w:szCs w:val="28"/>
              </w:rPr>
              <w:t>7. Гидравлическое сопротивление котла, кПа (мм. вод. ст.) при Δt=20 </w:t>
            </w:r>
            <w:r>
              <w:rPr>
                <w:sz w:val="28"/>
                <w:szCs w:val="28"/>
              </w:rPr>
              <w:t>°С</w:t>
            </w:r>
          </w:p>
        </w:tc>
        <w:tc>
          <w:tcPr>
            <w:tcW w:w="1843" w:type="dxa"/>
            <w:vAlign w:val="bottom"/>
          </w:tcPr>
          <w:p>
            <w:pPr>
              <w:suppressAutoHyphens w:val="0"/>
              <w:autoSpaceDN w:val="0"/>
              <w:textAlignment w:val="baseline"/>
              <w:rPr>
                <w:sz w:val="28"/>
                <w:szCs w:val="28"/>
              </w:rPr>
            </w:pPr>
            <w:r>
              <w:rPr>
                <w:sz w:val="28"/>
                <w:szCs w:val="28"/>
              </w:rPr>
              <w:t>1,5 (150)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7763" w:type="dxa"/>
            <w:vAlign w:val="bottom"/>
          </w:tcPr>
          <w:p>
            <w:pPr>
              <w:suppressAutoHyphens w:val="0"/>
              <w:autoSpaceDN w:val="0"/>
              <w:textAlignment w:val="baseline"/>
              <w:rPr>
                <w:sz w:val="28"/>
                <w:szCs w:val="28"/>
              </w:rPr>
            </w:pPr>
            <w:r>
              <w:rPr>
                <w:sz w:val="28"/>
                <w:szCs w:val="28"/>
              </w:rPr>
              <w:t>8. Аэродинамическое сопротивление котла, кПа (мм. вод. ст.)</w:t>
            </w:r>
          </w:p>
        </w:tc>
        <w:tc>
          <w:tcPr>
            <w:tcW w:w="1843" w:type="dxa"/>
            <w:vAlign w:val="bottom"/>
          </w:tcPr>
          <w:p>
            <w:pPr>
              <w:suppressAutoHyphens w:val="0"/>
              <w:autoSpaceDN w:val="0"/>
              <w:textAlignment w:val="baseline"/>
              <w:rPr>
                <w:sz w:val="28"/>
                <w:szCs w:val="28"/>
              </w:rPr>
            </w:pPr>
            <w:r>
              <w:rPr>
                <w:sz w:val="28"/>
                <w:szCs w:val="28"/>
              </w:rPr>
              <w:t>0,12 (12)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7763" w:type="dxa"/>
            <w:vAlign w:val="bottom"/>
          </w:tcPr>
          <w:p>
            <w:pPr>
              <w:suppressAutoHyphens w:val="0"/>
              <w:autoSpaceDN w:val="0"/>
              <w:textAlignment w:val="baseline"/>
              <w:rPr>
                <w:sz w:val="28"/>
                <w:szCs w:val="28"/>
              </w:rPr>
            </w:pPr>
            <w:r>
              <w:rPr>
                <w:sz w:val="28"/>
                <w:szCs w:val="28"/>
              </w:rPr>
              <w:t>9. Водяная емкость котла, м</w:t>
            </w:r>
            <w:r>
              <w:rPr>
                <w:sz w:val="28"/>
                <w:szCs w:val="28"/>
                <w:vertAlign w:val="superscript"/>
              </w:rPr>
              <w:t>3</w:t>
            </w:r>
          </w:p>
        </w:tc>
        <w:tc>
          <w:tcPr>
            <w:tcW w:w="1843" w:type="dxa"/>
            <w:vAlign w:val="bottom"/>
          </w:tcPr>
          <w:p>
            <w:pPr>
              <w:suppressAutoHyphens w:val="0"/>
              <w:autoSpaceDN w:val="0"/>
              <w:textAlignment w:val="baseline"/>
              <w:rPr>
                <w:sz w:val="28"/>
                <w:szCs w:val="28"/>
              </w:rPr>
            </w:pPr>
            <w:r>
              <w:rPr>
                <w:sz w:val="28"/>
                <w:szCs w:val="28"/>
              </w:rPr>
              <w:t>0,26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7763" w:type="dxa"/>
            <w:vAlign w:val="bottom"/>
          </w:tcPr>
          <w:p>
            <w:pPr>
              <w:suppressAutoHyphens w:val="0"/>
              <w:autoSpaceDN w:val="0"/>
              <w:textAlignment w:val="baseline"/>
              <w:rPr>
                <w:sz w:val="28"/>
                <w:szCs w:val="28"/>
              </w:rPr>
            </w:pPr>
            <w:r>
              <w:rPr>
                <w:sz w:val="28"/>
                <w:szCs w:val="28"/>
              </w:rPr>
              <w:t>12. Температура уходящих газов, </w:t>
            </w:r>
            <w:r>
              <w:rPr>
                <w:sz w:val="28"/>
                <w:szCs w:val="28"/>
              </w:rPr>
              <w:t>°С</w:t>
            </w:r>
            <w:r>
              <w:rPr>
                <w:sz w:val="28"/>
                <w:szCs w:val="28"/>
              </w:rPr>
              <w:t>, не ниже</w:t>
            </w:r>
          </w:p>
        </w:tc>
        <w:tc>
          <w:tcPr>
            <w:tcW w:w="1843" w:type="dxa"/>
            <w:vAlign w:val="bottom"/>
          </w:tcPr>
          <w:p>
            <w:pPr>
              <w:suppressAutoHyphens w:val="0"/>
              <w:autoSpaceDN w:val="0"/>
              <w:textAlignment w:val="baseline"/>
              <w:rPr>
                <w:sz w:val="28"/>
                <w:szCs w:val="28"/>
              </w:rPr>
            </w:pPr>
            <w:r>
              <w:rPr>
                <w:sz w:val="28"/>
                <w:szCs w:val="28"/>
              </w:rPr>
              <w:t>160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7763" w:type="dxa"/>
            <w:vAlign w:val="bottom"/>
          </w:tcPr>
          <w:p>
            <w:pPr>
              <w:suppressAutoHyphens w:val="0"/>
              <w:autoSpaceDN w:val="0"/>
              <w:textAlignment w:val="baseline"/>
              <w:rPr>
                <w:sz w:val="28"/>
                <w:szCs w:val="28"/>
              </w:rPr>
            </w:pPr>
            <w:r>
              <w:rPr>
                <w:sz w:val="28"/>
                <w:szCs w:val="28"/>
              </w:rPr>
              <w:t>13. Поверхность нагрева, м</w:t>
            </w:r>
            <w:r>
              <w:rPr>
                <w:sz w:val="28"/>
                <w:szCs w:val="28"/>
                <w:vertAlign w:val="superscript"/>
              </w:rPr>
              <w:t>2</w:t>
            </w:r>
          </w:p>
        </w:tc>
        <w:tc>
          <w:tcPr>
            <w:tcW w:w="1843" w:type="dxa"/>
            <w:vAlign w:val="bottom"/>
          </w:tcPr>
          <w:p>
            <w:pPr>
              <w:suppressAutoHyphens w:val="0"/>
              <w:autoSpaceDN w:val="0"/>
              <w:textAlignment w:val="baseline"/>
              <w:rPr>
                <w:sz w:val="28"/>
                <w:szCs w:val="28"/>
              </w:rPr>
            </w:pPr>
            <w:r>
              <w:rPr>
                <w:sz w:val="28"/>
                <w:szCs w:val="28"/>
              </w:rPr>
              <w:t>7,8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1" w:hRule="atLeast"/>
        </w:trPr>
        <w:tc>
          <w:tcPr>
            <w:tcW w:w="7763" w:type="dxa"/>
          </w:tcPr>
          <w:p>
            <w:pPr>
              <w:suppressAutoHyphens w:val="0"/>
              <w:autoSpaceDN w:val="0"/>
              <w:textAlignment w:val="baseline"/>
              <w:rPr>
                <w:sz w:val="28"/>
                <w:szCs w:val="28"/>
              </w:rPr>
            </w:pPr>
            <w:r>
              <w:rPr>
                <w:sz w:val="28"/>
                <w:szCs w:val="28"/>
              </w:rPr>
              <w:t>16. Содержание оксида углерода СО в сухих уходящих газах, мг/м3, в пересчете на коэффициент избытка воздуха α=1,0 и нормальные условия, не более</w:t>
            </w:r>
            <w:r>
              <w:rPr>
                <w:sz w:val="28"/>
                <w:szCs w:val="28"/>
              </w:rPr>
              <w:tab/>
            </w:r>
          </w:p>
        </w:tc>
        <w:tc>
          <w:tcPr>
            <w:tcW w:w="1843" w:type="dxa"/>
          </w:tcPr>
          <w:p>
            <w:pPr>
              <w:suppressAutoHyphens w:val="0"/>
              <w:autoSpaceDN w:val="0"/>
              <w:spacing w:after="424" w:line="278" w:lineRule="exact"/>
              <w:ind w:right="-60"/>
              <w:jc w:val="both"/>
              <w:textAlignment w:val="baseline"/>
              <w:rPr>
                <w:sz w:val="28"/>
                <w:szCs w:val="28"/>
              </w:rPr>
            </w:pPr>
            <w:r>
              <w:rPr>
                <w:sz w:val="28"/>
                <w:szCs w:val="28"/>
              </w:rPr>
              <w:t>130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7763" w:type="dxa"/>
            <w:vAlign w:val="bottom"/>
          </w:tcPr>
          <w:p>
            <w:pPr>
              <w:suppressAutoHyphens w:val="0"/>
              <w:autoSpaceDN w:val="0"/>
              <w:textAlignment w:val="baseline"/>
              <w:rPr>
                <w:sz w:val="28"/>
                <w:szCs w:val="28"/>
              </w:rPr>
            </w:pPr>
            <w:r>
              <w:rPr>
                <w:sz w:val="28"/>
                <w:szCs w:val="28"/>
              </w:rPr>
              <w:t>17. Содержание оксидов азота (в пересчете на NO2) в сухих уходящих газах, мг/м3, в пересчете на коэффициент избытка воздуха α=1,0 и нормальные условия, не более</w:t>
            </w:r>
          </w:p>
        </w:tc>
        <w:tc>
          <w:tcPr>
            <w:tcW w:w="1843" w:type="dxa"/>
            <w:vAlign w:val="bottom"/>
          </w:tcPr>
          <w:p>
            <w:pPr>
              <w:suppressAutoHyphens w:val="0"/>
              <w:autoSpaceDN w:val="0"/>
              <w:textAlignment w:val="baseline"/>
              <w:rPr>
                <w:sz w:val="28"/>
                <w:szCs w:val="28"/>
              </w:rPr>
            </w:pPr>
            <w:r>
              <w:rPr>
                <w:sz w:val="28"/>
                <w:szCs w:val="28"/>
              </w:rPr>
              <w:t>250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7763" w:type="dxa"/>
            <w:vAlign w:val="bottom"/>
          </w:tcPr>
          <w:p>
            <w:pPr>
              <w:suppressAutoHyphens w:val="0"/>
              <w:autoSpaceDN w:val="0"/>
              <w:textAlignment w:val="baseline"/>
              <w:rPr>
                <w:sz w:val="28"/>
                <w:szCs w:val="28"/>
              </w:rPr>
            </w:pPr>
            <w:r>
              <w:rPr>
                <w:sz w:val="28"/>
                <w:szCs w:val="28"/>
              </w:rPr>
              <w:t>18. Массовый расход уходящих газов при номинальной теплопроизводительности и α=1,1 , кг/час</w:t>
            </w:r>
          </w:p>
        </w:tc>
        <w:tc>
          <w:tcPr>
            <w:tcW w:w="1843" w:type="dxa"/>
            <w:vAlign w:val="bottom"/>
          </w:tcPr>
          <w:p>
            <w:pPr>
              <w:suppressAutoHyphens w:val="0"/>
              <w:autoSpaceDN w:val="0"/>
              <w:textAlignment w:val="baseline"/>
              <w:rPr>
                <w:sz w:val="28"/>
                <w:szCs w:val="28"/>
              </w:rPr>
            </w:pPr>
            <w:r>
              <w:rPr>
                <w:sz w:val="28"/>
                <w:szCs w:val="28"/>
              </w:rPr>
              <w:t>0,39х103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7763" w:type="dxa"/>
            <w:vAlign w:val="bottom"/>
          </w:tcPr>
          <w:p>
            <w:pPr>
              <w:suppressAutoHyphens w:val="0"/>
              <w:autoSpaceDN w:val="0"/>
              <w:textAlignment w:val="baseline"/>
              <w:rPr>
                <w:sz w:val="28"/>
                <w:szCs w:val="28"/>
              </w:rPr>
            </w:pPr>
            <w:r>
              <w:rPr>
                <w:sz w:val="28"/>
                <w:szCs w:val="28"/>
              </w:rPr>
              <w:t>19. Коэффициент избытка воздуха α</w:t>
            </w:r>
          </w:p>
        </w:tc>
        <w:tc>
          <w:tcPr>
            <w:tcW w:w="1843" w:type="dxa"/>
            <w:vAlign w:val="bottom"/>
          </w:tcPr>
          <w:p>
            <w:pPr>
              <w:suppressAutoHyphens w:val="0"/>
              <w:autoSpaceDN w:val="0"/>
              <w:textAlignment w:val="baseline"/>
              <w:rPr>
                <w:sz w:val="28"/>
                <w:szCs w:val="28"/>
              </w:rPr>
            </w:pPr>
            <w:r>
              <w:rPr>
                <w:sz w:val="28"/>
                <w:szCs w:val="28"/>
              </w:rPr>
              <w:t>1,10-1,15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7763" w:type="dxa"/>
            <w:vAlign w:val="bottom"/>
          </w:tcPr>
          <w:p>
            <w:pPr>
              <w:suppressAutoHyphens w:val="0"/>
              <w:autoSpaceDN w:val="0"/>
              <w:textAlignment w:val="baseline"/>
              <w:rPr>
                <w:sz w:val="28"/>
                <w:szCs w:val="28"/>
              </w:rPr>
            </w:pPr>
            <w:r>
              <w:rPr>
                <w:sz w:val="28"/>
                <w:szCs w:val="28"/>
              </w:rPr>
              <w:t>23. Потери в окружающую среду, q</w:t>
            </w:r>
            <w:r>
              <w:rPr>
                <w:sz w:val="28"/>
                <w:szCs w:val="28"/>
                <w:vertAlign w:val="subscript"/>
              </w:rPr>
              <w:t>5</w:t>
            </w:r>
            <w:r>
              <w:rPr>
                <w:sz w:val="28"/>
                <w:szCs w:val="28"/>
              </w:rPr>
              <w:t>, %</w:t>
            </w:r>
          </w:p>
        </w:tc>
        <w:tc>
          <w:tcPr>
            <w:tcW w:w="1843" w:type="dxa"/>
            <w:vAlign w:val="bottom"/>
          </w:tcPr>
          <w:p>
            <w:pPr>
              <w:suppressAutoHyphens w:val="0"/>
              <w:autoSpaceDN w:val="0"/>
              <w:textAlignment w:val="baseline"/>
              <w:rPr>
                <w:sz w:val="28"/>
                <w:szCs w:val="28"/>
              </w:rPr>
            </w:pPr>
            <w:r>
              <w:rPr>
                <w:sz w:val="28"/>
                <w:szCs w:val="28"/>
              </w:rPr>
              <w:t>0,48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7763" w:type="dxa"/>
            <w:vAlign w:val="bottom"/>
          </w:tcPr>
          <w:p>
            <w:pPr>
              <w:suppressAutoHyphens w:val="0"/>
              <w:autoSpaceDN w:val="0"/>
              <w:textAlignment w:val="baseline"/>
              <w:rPr>
                <w:sz w:val="28"/>
                <w:szCs w:val="28"/>
              </w:rPr>
            </w:pPr>
            <w:r>
              <w:rPr>
                <w:sz w:val="28"/>
                <w:szCs w:val="28"/>
              </w:rPr>
              <w:t>24. Удельное потребление электро энергии, кВт/МВт</w:t>
            </w:r>
          </w:p>
        </w:tc>
        <w:tc>
          <w:tcPr>
            <w:tcW w:w="1843" w:type="dxa"/>
            <w:vAlign w:val="bottom"/>
          </w:tcPr>
          <w:p>
            <w:pPr>
              <w:suppressAutoHyphens w:val="0"/>
              <w:autoSpaceDN w:val="0"/>
              <w:textAlignment w:val="baseline"/>
              <w:rPr>
                <w:sz w:val="28"/>
                <w:szCs w:val="28"/>
              </w:rPr>
            </w:pPr>
            <w:r>
              <w:rPr>
                <w:sz w:val="28"/>
                <w:szCs w:val="28"/>
              </w:rPr>
              <w:t>1,2</w:t>
            </w:r>
          </w:p>
        </w:tc>
      </w:tr>
    </w:tbl>
    <w:p>
      <w:pPr>
        <w:suppressAutoHyphens w:val="0"/>
        <w:autoSpaceDN/>
        <w:spacing w:line="250" w:lineRule="exact"/>
        <w:ind w:right="-60" w:firstLine="567"/>
        <w:jc w:val="both"/>
        <w:textAlignment w:val="auto"/>
        <w:rPr>
          <w:shd w:val="clear" w:color="auto" w:fill="FFFFFF"/>
        </w:rPr>
      </w:pPr>
    </w:p>
    <w:p>
      <w:pPr>
        <w:jc w:val="both"/>
        <w:rPr>
          <w:sz w:val="28"/>
          <w:szCs w:val="28"/>
        </w:rPr>
      </w:pPr>
      <w:r>
        <w:rPr>
          <w:sz w:val="28"/>
          <w:szCs w:val="28"/>
        </w:rPr>
        <w:t xml:space="preserve">     Для производства 1 Гкал тепла расходуется 92 квт элекроэнергии.  Среднегодовая загрузка оборудования составляет 50%. Котельная работает сезонно с 15 октября по 15 апреля т.е. 182 дня в году. </w:t>
      </w:r>
    </w:p>
    <w:p>
      <w:pPr>
        <w:jc w:val="both"/>
        <w:rPr>
          <w:sz w:val="28"/>
          <w:szCs w:val="28"/>
        </w:rPr>
      </w:pPr>
      <w:r>
        <w:rPr>
          <w:sz w:val="28"/>
          <w:szCs w:val="28"/>
        </w:rPr>
        <w:t xml:space="preserve">     Тепловые сети рассчитаны на отпуск тепла по температурному графику 95-70  град С.</w:t>
      </w:r>
    </w:p>
    <w:p>
      <w:pPr>
        <w:jc w:val="both"/>
        <w:rPr>
          <w:bCs/>
          <w:iCs/>
          <w:sz w:val="28"/>
          <w:szCs w:val="28"/>
        </w:rPr>
      </w:pPr>
      <w:r>
        <w:rPr>
          <w:bCs/>
          <w:iCs/>
          <w:sz w:val="28"/>
          <w:szCs w:val="28"/>
        </w:rPr>
        <w:t xml:space="preserve">     Тариф на теплоснабжение устанавливается  комитетом тарифного регулирования Волгоградской области на основании данных, представленных теплоснабжающей организацией о количестве произведенных затрат, необходимых для организации деятельности по производству тепловой энергии. Величины затрат по каждой статье обязательно подтверждаются правовыми актами, нормативно - технической и иной эксплуатационной документацией, устанавливающей законность и целесообразность производства данных видов расходов в процессе производства тепловой энергии. За последние три года Российское законодательство существенно не меняло социальных норм теплопотребления, производственная структура теплоснабжающей организации Тормосиновского сельского поселения так же не претерпела значительных изменений, тепловая нагрузка осталась на прежнем уровне. В связи с чем тариф на теплоснабжение для теплоснабжающей организации Тормосиновского сельского поселения в последние три года устанавливается методом индексации. </w:t>
      </w:r>
    </w:p>
    <w:p>
      <w:pPr>
        <w:widowControl w:val="0"/>
        <w:suppressAutoHyphens w:val="0"/>
        <w:autoSpaceDE w:val="0"/>
        <w:adjustRightInd w:val="0"/>
        <w:jc w:val="center"/>
        <w:textAlignment w:val="auto"/>
        <w:rPr>
          <w:rFonts w:eastAsiaTheme="minorEastAsia"/>
          <w:bCs/>
          <w:i/>
          <w:sz w:val="28"/>
          <w:szCs w:val="28"/>
        </w:rPr>
      </w:pPr>
    </w:p>
    <w:p>
      <w:pPr>
        <w:widowControl w:val="0"/>
        <w:suppressAutoHyphens w:val="0"/>
        <w:autoSpaceDE w:val="0"/>
        <w:adjustRightInd w:val="0"/>
        <w:jc w:val="center"/>
        <w:textAlignment w:val="auto"/>
        <w:rPr>
          <w:rFonts w:eastAsiaTheme="minorEastAsia"/>
          <w:bCs/>
          <w:i/>
          <w:sz w:val="28"/>
          <w:szCs w:val="28"/>
        </w:rPr>
      </w:pPr>
      <w:r>
        <w:rPr>
          <w:rFonts w:eastAsiaTheme="minorEastAsia"/>
          <w:bCs/>
          <w:i/>
          <w:sz w:val="28"/>
          <w:szCs w:val="28"/>
        </w:rPr>
        <w:t>Тарифы</w:t>
      </w:r>
    </w:p>
    <w:p>
      <w:pPr>
        <w:widowControl w:val="0"/>
        <w:suppressAutoHyphens w:val="0"/>
        <w:autoSpaceDE w:val="0"/>
        <w:adjustRightInd w:val="0"/>
        <w:jc w:val="center"/>
        <w:textAlignment w:val="auto"/>
        <w:rPr>
          <w:rFonts w:eastAsiaTheme="minorEastAsia"/>
          <w:bCs/>
          <w:i/>
          <w:sz w:val="28"/>
          <w:szCs w:val="28"/>
        </w:rPr>
      </w:pPr>
      <w:r>
        <w:rPr>
          <w:rFonts w:eastAsiaTheme="minorEastAsia"/>
          <w:bCs/>
          <w:i/>
          <w:sz w:val="28"/>
          <w:szCs w:val="28"/>
        </w:rPr>
        <w:t>на тепловую энергию (мощность), поставляемую потребителям (без НДС)</w:t>
      </w:r>
    </w:p>
    <w:p>
      <w:pPr>
        <w:widowControl w:val="0"/>
        <w:suppressAutoHyphens w:val="0"/>
        <w:autoSpaceDE w:val="0"/>
        <w:adjustRightInd w:val="0"/>
        <w:textAlignment w:val="auto"/>
        <w:rPr>
          <w:rFonts w:ascii="Arial" w:hAnsi="Arial" w:cs="Arial" w:eastAsiaTheme="minorEastAsia"/>
          <w:sz w:val="20"/>
          <w:szCs w:val="20"/>
        </w:rPr>
      </w:pPr>
    </w:p>
    <w:tbl>
      <w:tblPr>
        <w:tblStyle w:val="28"/>
        <w:tblW w:w="10122" w:type="dxa"/>
        <w:tblCellSpacing w:w="5" w:type="dxa"/>
        <w:tblInd w:w="75" w:type="dxa"/>
        <w:tblLayout w:type="fixed"/>
        <w:tblCellMar>
          <w:top w:w="0" w:type="dxa"/>
          <w:left w:w="75" w:type="dxa"/>
          <w:bottom w:w="0" w:type="dxa"/>
          <w:right w:w="75" w:type="dxa"/>
        </w:tblCellMar>
      </w:tblPr>
      <w:tblGrid>
        <w:gridCol w:w="3119"/>
        <w:gridCol w:w="1758"/>
        <w:gridCol w:w="1871"/>
        <w:gridCol w:w="1106"/>
        <w:gridCol w:w="1701"/>
        <w:gridCol w:w="567"/>
      </w:tblGrid>
      <w:tr>
        <w:tblPrEx>
          <w:tblLayout w:type="fixed"/>
          <w:tblCellMar>
            <w:top w:w="0" w:type="dxa"/>
            <w:left w:w="75" w:type="dxa"/>
            <w:bottom w:w="0" w:type="dxa"/>
            <w:right w:w="75" w:type="dxa"/>
          </w:tblCellMar>
        </w:tblPrEx>
        <w:trPr>
          <w:tblCellSpacing w:w="5" w:type="dxa"/>
        </w:trPr>
        <w:tc>
          <w:tcPr>
            <w:tcW w:w="3104" w:type="dxa"/>
            <w:tcBorders>
              <w:top w:val="single" w:color="auto" w:sz="4" w:space="0"/>
              <w:left w:val="single" w:color="auto" w:sz="4" w:space="0"/>
              <w:bottom w:val="single" w:color="auto" w:sz="4" w:space="0"/>
              <w:right w:val="single" w:color="auto" w:sz="4" w:space="0"/>
            </w:tcBorders>
          </w:tcPr>
          <w:p>
            <w:pPr>
              <w:widowControl w:val="0"/>
              <w:suppressAutoHyphens w:val="0"/>
              <w:autoSpaceDE w:val="0"/>
              <w:adjustRightInd w:val="0"/>
              <w:jc w:val="center"/>
              <w:textAlignment w:val="auto"/>
              <w:rPr>
                <w:rFonts w:eastAsiaTheme="minorEastAsia"/>
              </w:rPr>
            </w:pPr>
            <w:r>
              <w:rPr>
                <w:rFonts w:eastAsiaTheme="minorEastAsia"/>
              </w:rPr>
              <w:t>Наименование регулируемой организации (источника теплоснабжения)</w:t>
            </w:r>
          </w:p>
        </w:tc>
        <w:tc>
          <w:tcPr>
            <w:tcW w:w="1748" w:type="dxa"/>
            <w:tcBorders>
              <w:top w:val="single" w:color="auto" w:sz="4" w:space="0"/>
              <w:left w:val="single" w:color="auto" w:sz="4" w:space="0"/>
              <w:bottom w:val="single" w:color="auto" w:sz="4" w:space="0"/>
              <w:right w:val="single" w:color="auto" w:sz="4" w:space="0"/>
            </w:tcBorders>
          </w:tcPr>
          <w:p>
            <w:pPr>
              <w:widowControl w:val="0"/>
              <w:suppressAutoHyphens w:val="0"/>
              <w:autoSpaceDE w:val="0"/>
              <w:adjustRightInd w:val="0"/>
              <w:jc w:val="center"/>
              <w:textAlignment w:val="auto"/>
              <w:rPr>
                <w:rFonts w:eastAsiaTheme="minorEastAsia"/>
              </w:rPr>
            </w:pPr>
            <w:r>
              <w:rPr>
                <w:rFonts w:eastAsiaTheme="minorEastAsia"/>
              </w:rPr>
              <w:t>Вид тарифа</w:t>
            </w:r>
          </w:p>
        </w:tc>
        <w:tc>
          <w:tcPr>
            <w:tcW w:w="1861" w:type="dxa"/>
            <w:tcBorders>
              <w:top w:val="single" w:color="auto" w:sz="4" w:space="0"/>
              <w:left w:val="single" w:color="auto" w:sz="4" w:space="0"/>
              <w:bottom w:val="single" w:color="auto" w:sz="4" w:space="0"/>
              <w:right w:val="single" w:color="auto" w:sz="4" w:space="0"/>
            </w:tcBorders>
          </w:tcPr>
          <w:p>
            <w:pPr>
              <w:widowControl w:val="0"/>
              <w:suppressAutoHyphens w:val="0"/>
              <w:autoSpaceDE w:val="0"/>
              <w:adjustRightInd w:val="0"/>
              <w:jc w:val="center"/>
              <w:textAlignment w:val="auto"/>
              <w:rPr>
                <w:rFonts w:eastAsiaTheme="minorEastAsia"/>
              </w:rPr>
            </w:pPr>
            <w:r>
              <w:rPr>
                <w:rFonts w:eastAsiaTheme="minorEastAsia"/>
              </w:rPr>
              <w:t>Год (календарная разбивка)</w:t>
            </w:r>
          </w:p>
        </w:tc>
        <w:tc>
          <w:tcPr>
            <w:tcW w:w="1096" w:type="dxa"/>
            <w:tcBorders>
              <w:top w:val="single" w:color="auto" w:sz="4" w:space="0"/>
              <w:left w:val="single" w:color="auto" w:sz="4" w:space="0"/>
              <w:bottom w:val="single" w:color="auto" w:sz="4" w:space="0"/>
              <w:right w:val="single" w:color="auto" w:sz="4" w:space="0"/>
            </w:tcBorders>
          </w:tcPr>
          <w:p>
            <w:pPr>
              <w:widowControl w:val="0"/>
              <w:suppressAutoHyphens w:val="0"/>
              <w:autoSpaceDE w:val="0"/>
              <w:adjustRightInd w:val="0"/>
              <w:jc w:val="center"/>
              <w:textAlignment w:val="auto"/>
              <w:rPr>
                <w:rFonts w:eastAsiaTheme="minorEastAsia"/>
              </w:rPr>
            </w:pPr>
            <w:r>
              <w:rPr>
                <w:rFonts w:eastAsiaTheme="minorEastAsia"/>
              </w:rPr>
              <w:t>Вода</w:t>
            </w:r>
          </w:p>
        </w:tc>
        <w:tc>
          <w:tcPr>
            <w:tcW w:w="1691" w:type="dxa"/>
            <w:tcBorders>
              <w:top w:val="single" w:color="auto" w:sz="4" w:space="0"/>
              <w:left w:val="single" w:color="auto" w:sz="4" w:space="0"/>
              <w:bottom w:val="single" w:color="auto" w:sz="4" w:space="0"/>
              <w:right w:val="single" w:color="auto" w:sz="4" w:space="0"/>
            </w:tcBorders>
          </w:tcPr>
          <w:p>
            <w:pPr>
              <w:widowControl w:val="0"/>
              <w:suppressAutoHyphens w:val="0"/>
              <w:autoSpaceDE w:val="0"/>
              <w:adjustRightInd w:val="0"/>
              <w:jc w:val="center"/>
              <w:textAlignment w:val="auto"/>
              <w:rPr>
                <w:rFonts w:eastAsiaTheme="minorEastAsia"/>
              </w:rPr>
            </w:pPr>
            <w:r>
              <w:rPr>
                <w:rFonts w:eastAsiaTheme="minorEastAsia"/>
              </w:rPr>
              <w:t>Год (календарная разбивка)</w:t>
            </w:r>
          </w:p>
        </w:tc>
        <w:tc>
          <w:tcPr>
            <w:tcW w:w="552" w:type="dxa"/>
            <w:tcBorders>
              <w:top w:val="single" w:color="auto" w:sz="4" w:space="0"/>
              <w:left w:val="single" w:color="auto" w:sz="4" w:space="0"/>
              <w:bottom w:val="single" w:color="auto" w:sz="4" w:space="0"/>
              <w:right w:val="single" w:color="auto" w:sz="4" w:space="0"/>
            </w:tcBorders>
          </w:tcPr>
          <w:p>
            <w:pPr>
              <w:widowControl w:val="0"/>
              <w:suppressAutoHyphens w:val="0"/>
              <w:autoSpaceDE w:val="0"/>
              <w:adjustRightInd w:val="0"/>
              <w:jc w:val="center"/>
              <w:textAlignment w:val="auto"/>
              <w:rPr>
                <w:rFonts w:eastAsiaTheme="minorEastAsia"/>
              </w:rPr>
            </w:pPr>
            <w:r>
              <w:rPr>
                <w:rFonts w:eastAsiaTheme="minorEastAsia"/>
              </w:rPr>
              <w:t>Вода</w:t>
            </w:r>
          </w:p>
        </w:tc>
      </w:tr>
      <w:tr>
        <w:tblPrEx>
          <w:tblLayout w:type="fixed"/>
          <w:tblCellMar>
            <w:top w:w="0" w:type="dxa"/>
            <w:left w:w="75" w:type="dxa"/>
            <w:bottom w:w="0" w:type="dxa"/>
            <w:right w:w="75" w:type="dxa"/>
          </w:tblCellMar>
        </w:tblPrEx>
        <w:trPr>
          <w:tblCellSpacing w:w="5" w:type="dxa"/>
        </w:trPr>
        <w:tc>
          <w:tcPr>
            <w:tcW w:w="10102" w:type="dxa"/>
            <w:gridSpan w:val="6"/>
            <w:tcBorders>
              <w:top w:val="single" w:color="auto" w:sz="4" w:space="0"/>
              <w:left w:val="single" w:color="auto" w:sz="4" w:space="0"/>
              <w:bottom w:val="single" w:color="auto" w:sz="4" w:space="0"/>
              <w:right w:val="single" w:color="auto" w:sz="4" w:space="0"/>
            </w:tcBorders>
            <w:vAlign w:val="center"/>
          </w:tcPr>
          <w:p>
            <w:pPr>
              <w:widowControl w:val="0"/>
              <w:suppressAutoHyphens w:val="0"/>
              <w:autoSpaceDE w:val="0"/>
              <w:adjustRightInd w:val="0"/>
              <w:jc w:val="center"/>
              <w:textAlignment w:val="auto"/>
              <w:rPr>
                <w:rFonts w:eastAsiaTheme="minorEastAsia"/>
                <w:i/>
              </w:rPr>
            </w:pPr>
            <w:r>
              <w:rPr>
                <w:rFonts w:eastAsiaTheme="minorEastAsia"/>
                <w:i/>
              </w:rPr>
              <w:t>Для потребителей, в случае отсутствия дифференциации тарифов по схеме подключения</w:t>
            </w:r>
          </w:p>
        </w:tc>
      </w:tr>
      <w:tr>
        <w:tblPrEx>
          <w:tblLayout w:type="fixed"/>
          <w:tblCellMar>
            <w:top w:w="0" w:type="dxa"/>
            <w:left w:w="75" w:type="dxa"/>
            <w:bottom w:w="0" w:type="dxa"/>
            <w:right w:w="75" w:type="dxa"/>
          </w:tblCellMar>
        </w:tblPrEx>
        <w:trPr>
          <w:tblCellSpacing w:w="5" w:type="dxa"/>
        </w:trPr>
        <w:tc>
          <w:tcPr>
            <w:tcW w:w="3104" w:type="dxa"/>
            <w:vMerge w:val="restart"/>
            <w:tcBorders>
              <w:top w:val="single" w:color="auto" w:sz="4" w:space="0"/>
              <w:left w:val="single" w:color="auto" w:sz="4" w:space="0"/>
              <w:right w:val="single" w:color="auto" w:sz="4" w:space="0"/>
            </w:tcBorders>
          </w:tcPr>
          <w:p>
            <w:pPr>
              <w:widowControl w:val="0"/>
              <w:suppressAutoHyphens w:val="0"/>
              <w:autoSpaceDE w:val="0"/>
              <w:adjustRightInd w:val="0"/>
              <w:textAlignment w:val="auto"/>
              <w:rPr>
                <w:rFonts w:eastAsiaTheme="minorEastAsia"/>
              </w:rPr>
            </w:pPr>
            <w:r>
              <w:rPr>
                <w:rFonts w:eastAsiaTheme="minorEastAsia"/>
              </w:rPr>
              <w:t>МБУ "Управление жилищно-коммунального хозяйства Чернышковского района" (котельная № 2, х. Тормосин, ул. Октябрьская, 27)</w:t>
            </w:r>
          </w:p>
        </w:tc>
        <w:tc>
          <w:tcPr>
            <w:tcW w:w="1748" w:type="dxa"/>
            <w:tcBorders>
              <w:top w:val="single" w:color="auto" w:sz="4" w:space="0"/>
              <w:left w:val="single" w:color="auto" w:sz="4" w:space="0"/>
              <w:bottom w:val="single" w:color="auto" w:sz="4" w:space="0"/>
              <w:right w:val="single" w:color="auto" w:sz="4" w:space="0"/>
            </w:tcBorders>
            <w:vAlign w:val="center"/>
          </w:tcPr>
          <w:p>
            <w:pPr>
              <w:widowControl w:val="0"/>
              <w:suppressAutoHyphens w:val="0"/>
              <w:autoSpaceDE w:val="0"/>
              <w:adjustRightInd w:val="0"/>
              <w:textAlignment w:val="auto"/>
              <w:rPr>
                <w:rFonts w:eastAsiaTheme="minorEastAsia"/>
              </w:rPr>
            </w:pPr>
            <w:r>
              <w:rPr>
                <w:rFonts w:eastAsiaTheme="minorEastAsia"/>
              </w:rPr>
              <w:t>одноставочный руб./Гкал</w:t>
            </w:r>
          </w:p>
        </w:tc>
        <w:tc>
          <w:tcPr>
            <w:tcW w:w="1861" w:type="dxa"/>
            <w:tcBorders>
              <w:top w:val="single" w:color="auto" w:sz="4" w:space="0"/>
              <w:left w:val="single" w:color="auto" w:sz="4" w:space="0"/>
              <w:bottom w:val="single" w:color="auto" w:sz="4" w:space="0"/>
              <w:right w:val="single" w:color="auto" w:sz="4" w:space="0"/>
            </w:tcBorders>
            <w:vAlign w:val="center"/>
          </w:tcPr>
          <w:p>
            <w:pPr>
              <w:widowControl w:val="0"/>
              <w:suppressAutoHyphens w:val="0"/>
              <w:autoSpaceDE w:val="0"/>
              <w:adjustRightInd w:val="0"/>
              <w:jc w:val="center"/>
              <w:textAlignment w:val="auto"/>
              <w:rPr>
                <w:rFonts w:eastAsiaTheme="minorEastAsia"/>
              </w:rPr>
            </w:pPr>
            <w:r>
              <w:rPr>
                <w:rFonts w:eastAsiaTheme="minorEastAsia"/>
              </w:rPr>
              <w:t>с 05.02.2014 по 30.06.2014</w:t>
            </w:r>
          </w:p>
        </w:tc>
        <w:tc>
          <w:tcPr>
            <w:tcW w:w="1096" w:type="dxa"/>
            <w:tcBorders>
              <w:top w:val="single" w:color="auto" w:sz="4" w:space="0"/>
              <w:left w:val="single" w:color="auto" w:sz="4" w:space="0"/>
              <w:bottom w:val="single" w:color="auto" w:sz="4" w:space="0"/>
              <w:right w:val="single" w:color="auto" w:sz="4" w:space="0"/>
            </w:tcBorders>
            <w:vAlign w:val="center"/>
          </w:tcPr>
          <w:p>
            <w:pPr>
              <w:widowControl w:val="0"/>
              <w:suppressAutoHyphens w:val="0"/>
              <w:autoSpaceDE w:val="0"/>
              <w:adjustRightInd w:val="0"/>
              <w:jc w:val="center"/>
              <w:textAlignment w:val="auto"/>
              <w:rPr>
                <w:rFonts w:eastAsiaTheme="minorEastAsia"/>
              </w:rPr>
            </w:pPr>
            <w:r>
              <w:rPr>
                <w:rFonts w:eastAsiaTheme="minorEastAsia"/>
              </w:rPr>
              <w:t>6268,88</w:t>
            </w:r>
          </w:p>
        </w:tc>
        <w:tc>
          <w:tcPr>
            <w:tcW w:w="1691" w:type="dxa"/>
            <w:tcBorders>
              <w:top w:val="single" w:color="auto" w:sz="4" w:space="0"/>
              <w:left w:val="single" w:color="auto" w:sz="4" w:space="0"/>
              <w:bottom w:val="single" w:color="auto" w:sz="4" w:space="0"/>
              <w:right w:val="single" w:color="auto" w:sz="4" w:space="0"/>
            </w:tcBorders>
            <w:vAlign w:val="center"/>
          </w:tcPr>
          <w:p>
            <w:pPr>
              <w:widowControl w:val="0"/>
              <w:suppressAutoHyphens w:val="0"/>
              <w:autoSpaceDE w:val="0"/>
              <w:adjustRightInd w:val="0"/>
              <w:jc w:val="center"/>
              <w:textAlignment w:val="auto"/>
              <w:rPr>
                <w:rFonts w:eastAsiaTheme="minorEastAsia"/>
              </w:rPr>
            </w:pPr>
            <w:r>
              <w:rPr>
                <w:rFonts w:eastAsiaTheme="minorEastAsia"/>
              </w:rPr>
              <w:t>с 01.07.2014 по 31.12.2014</w:t>
            </w:r>
          </w:p>
        </w:tc>
        <w:tc>
          <w:tcPr>
            <w:tcW w:w="552" w:type="dxa"/>
            <w:tcBorders>
              <w:top w:val="single" w:color="auto" w:sz="4" w:space="0"/>
              <w:left w:val="single" w:color="auto" w:sz="4" w:space="0"/>
              <w:bottom w:val="single" w:color="auto" w:sz="4" w:space="0"/>
              <w:right w:val="single" w:color="auto" w:sz="4" w:space="0"/>
            </w:tcBorders>
            <w:vAlign w:val="center"/>
          </w:tcPr>
          <w:p>
            <w:pPr>
              <w:widowControl w:val="0"/>
              <w:suppressAutoHyphens w:val="0"/>
              <w:autoSpaceDE w:val="0"/>
              <w:adjustRightInd w:val="0"/>
              <w:jc w:val="center"/>
              <w:textAlignment w:val="auto"/>
              <w:rPr>
                <w:rFonts w:eastAsiaTheme="minorEastAsia"/>
              </w:rPr>
            </w:pPr>
            <w:r>
              <w:rPr>
                <w:rFonts w:eastAsiaTheme="minorEastAsia"/>
              </w:rPr>
              <w:t>6538,44</w:t>
            </w:r>
          </w:p>
        </w:tc>
      </w:tr>
      <w:tr>
        <w:tblPrEx>
          <w:tblLayout w:type="fixed"/>
          <w:tblCellMar>
            <w:top w:w="0" w:type="dxa"/>
            <w:left w:w="75" w:type="dxa"/>
            <w:bottom w:w="0" w:type="dxa"/>
            <w:right w:w="75" w:type="dxa"/>
          </w:tblCellMar>
        </w:tblPrEx>
        <w:trPr>
          <w:tblCellSpacing w:w="5" w:type="dxa"/>
        </w:trPr>
        <w:tc>
          <w:tcPr>
            <w:tcW w:w="3104" w:type="dxa"/>
            <w:vMerge w:val="continue"/>
            <w:tcBorders>
              <w:left w:val="single" w:color="auto" w:sz="4" w:space="0"/>
              <w:right w:val="single" w:color="auto" w:sz="4" w:space="0"/>
            </w:tcBorders>
          </w:tcPr>
          <w:p>
            <w:pPr>
              <w:widowControl w:val="0"/>
              <w:suppressAutoHyphens w:val="0"/>
              <w:autoSpaceDE w:val="0"/>
              <w:adjustRightInd w:val="0"/>
              <w:textAlignment w:val="auto"/>
              <w:rPr>
                <w:rFonts w:eastAsiaTheme="minorEastAsia"/>
              </w:rPr>
            </w:pPr>
          </w:p>
        </w:tc>
        <w:tc>
          <w:tcPr>
            <w:tcW w:w="6988" w:type="dxa"/>
            <w:gridSpan w:val="5"/>
            <w:tcBorders>
              <w:top w:val="single" w:color="auto" w:sz="4" w:space="0"/>
              <w:left w:val="single" w:color="auto" w:sz="4" w:space="0"/>
              <w:bottom w:val="single" w:color="auto" w:sz="4" w:space="0"/>
              <w:right w:val="single" w:color="auto" w:sz="4" w:space="0"/>
            </w:tcBorders>
            <w:vAlign w:val="center"/>
          </w:tcPr>
          <w:p>
            <w:pPr>
              <w:widowControl w:val="0"/>
              <w:suppressAutoHyphens w:val="0"/>
              <w:autoSpaceDE w:val="0"/>
              <w:adjustRightInd w:val="0"/>
              <w:jc w:val="center"/>
              <w:textAlignment w:val="auto"/>
              <w:rPr>
                <w:rFonts w:eastAsiaTheme="minorEastAsia"/>
                <w:i/>
              </w:rPr>
            </w:pPr>
            <w:r>
              <w:rPr>
                <w:rFonts w:eastAsiaTheme="minorEastAsia"/>
                <w:i/>
              </w:rPr>
              <w:t>Население (тарифы указываются с учетом НДС)</w:t>
            </w:r>
          </w:p>
        </w:tc>
      </w:tr>
      <w:tr>
        <w:tblPrEx>
          <w:tblLayout w:type="fixed"/>
          <w:tblCellMar>
            <w:top w:w="0" w:type="dxa"/>
            <w:left w:w="75" w:type="dxa"/>
            <w:bottom w:w="0" w:type="dxa"/>
            <w:right w:w="75" w:type="dxa"/>
          </w:tblCellMar>
        </w:tblPrEx>
        <w:trPr>
          <w:tblCellSpacing w:w="5" w:type="dxa"/>
        </w:trPr>
        <w:tc>
          <w:tcPr>
            <w:tcW w:w="3104" w:type="dxa"/>
            <w:vMerge w:val="continue"/>
            <w:tcBorders>
              <w:left w:val="single" w:color="auto" w:sz="4" w:space="0"/>
              <w:bottom w:val="single" w:color="auto" w:sz="4" w:space="0"/>
              <w:right w:val="single" w:color="auto" w:sz="4" w:space="0"/>
            </w:tcBorders>
          </w:tcPr>
          <w:p>
            <w:pPr>
              <w:widowControl w:val="0"/>
              <w:suppressAutoHyphens w:val="0"/>
              <w:autoSpaceDE w:val="0"/>
              <w:adjustRightInd w:val="0"/>
              <w:textAlignment w:val="auto"/>
              <w:rPr>
                <w:rFonts w:eastAsiaTheme="minorEastAsia"/>
              </w:rPr>
            </w:pPr>
          </w:p>
        </w:tc>
        <w:tc>
          <w:tcPr>
            <w:tcW w:w="1748" w:type="dxa"/>
            <w:tcBorders>
              <w:top w:val="single" w:color="auto" w:sz="4" w:space="0"/>
              <w:left w:val="single" w:color="auto" w:sz="4" w:space="0"/>
              <w:bottom w:val="single" w:color="auto" w:sz="4" w:space="0"/>
              <w:right w:val="single" w:color="auto" w:sz="4" w:space="0"/>
            </w:tcBorders>
            <w:vAlign w:val="center"/>
          </w:tcPr>
          <w:p>
            <w:pPr>
              <w:widowControl w:val="0"/>
              <w:suppressAutoHyphens w:val="0"/>
              <w:autoSpaceDE w:val="0"/>
              <w:adjustRightInd w:val="0"/>
              <w:textAlignment w:val="auto"/>
              <w:rPr>
                <w:rFonts w:eastAsiaTheme="minorEastAsia"/>
              </w:rPr>
            </w:pPr>
            <w:r>
              <w:rPr>
                <w:rFonts w:eastAsiaTheme="minorEastAsia"/>
              </w:rPr>
              <w:t>одноставочный руб./Гкал</w:t>
            </w:r>
          </w:p>
        </w:tc>
        <w:tc>
          <w:tcPr>
            <w:tcW w:w="1861" w:type="dxa"/>
            <w:tcBorders>
              <w:top w:val="single" w:color="auto" w:sz="4" w:space="0"/>
              <w:left w:val="single" w:color="auto" w:sz="4" w:space="0"/>
              <w:bottom w:val="single" w:color="auto" w:sz="4" w:space="0"/>
              <w:right w:val="single" w:color="auto" w:sz="4" w:space="0"/>
            </w:tcBorders>
            <w:vAlign w:val="center"/>
          </w:tcPr>
          <w:p>
            <w:pPr>
              <w:widowControl w:val="0"/>
              <w:suppressAutoHyphens w:val="0"/>
              <w:autoSpaceDE w:val="0"/>
              <w:adjustRightInd w:val="0"/>
              <w:jc w:val="center"/>
              <w:textAlignment w:val="auto"/>
              <w:rPr>
                <w:rFonts w:eastAsiaTheme="minorEastAsia"/>
              </w:rPr>
            </w:pPr>
            <w:r>
              <w:rPr>
                <w:rFonts w:eastAsiaTheme="minorEastAsia"/>
              </w:rPr>
              <w:t>с 05.02.2014 по 30.06.2014</w:t>
            </w:r>
          </w:p>
        </w:tc>
        <w:tc>
          <w:tcPr>
            <w:tcW w:w="1096" w:type="dxa"/>
            <w:tcBorders>
              <w:top w:val="single" w:color="auto" w:sz="4" w:space="0"/>
              <w:left w:val="single" w:color="auto" w:sz="4" w:space="0"/>
              <w:bottom w:val="single" w:color="auto" w:sz="4" w:space="0"/>
              <w:right w:val="single" w:color="auto" w:sz="4" w:space="0"/>
            </w:tcBorders>
            <w:vAlign w:val="center"/>
          </w:tcPr>
          <w:p>
            <w:pPr>
              <w:widowControl w:val="0"/>
              <w:suppressAutoHyphens w:val="0"/>
              <w:autoSpaceDE w:val="0"/>
              <w:adjustRightInd w:val="0"/>
              <w:jc w:val="center"/>
              <w:textAlignment w:val="auto"/>
              <w:rPr>
                <w:rFonts w:eastAsiaTheme="minorEastAsia"/>
              </w:rPr>
            </w:pPr>
            <w:r>
              <w:rPr>
                <w:rFonts w:eastAsiaTheme="minorEastAsia"/>
              </w:rPr>
              <w:t>-</w:t>
            </w:r>
          </w:p>
        </w:tc>
        <w:tc>
          <w:tcPr>
            <w:tcW w:w="1691" w:type="dxa"/>
            <w:tcBorders>
              <w:top w:val="single" w:color="auto" w:sz="4" w:space="0"/>
              <w:left w:val="single" w:color="auto" w:sz="4" w:space="0"/>
              <w:bottom w:val="single" w:color="auto" w:sz="4" w:space="0"/>
              <w:right w:val="single" w:color="auto" w:sz="4" w:space="0"/>
            </w:tcBorders>
            <w:vAlign w:val="center"/>
          </w:tcPr>
          <w:p>
            <w:pPr>
              <w:widowControl w:val="0"/>
              <w:suppressAutoHyphens w:val="0"/>
              <w:autoSpaceDE w:val="0"/>
              <w:adjustRightInd w:val="0"/>
              <w:jc w:val="center"/>
              <w:textAlignment w:val="auto"/>
              <w:rPr>
                <w:rFonts w:eastAsiaTheme="minorEastAsia"/>
              </w:rPr>
            </w:pPr>
            <w:r>
              <w:rPr>
                <w:rFonts w:eastAsiaTheme="minorEastAsia"/>
              </w:rPr>
              <w:t>с 01.07.2014 по 31.12.2014</w:t>
            </w:r>
          </w:p>
        </w:tc>
        <w:tc>
          <w:tcPr>
            <w:tcW w:w="552" w:type="dxa"/>
            <w:tcBorders>
              <w:top w:val="single" w:color="auto" w:sz="4" w:space="0"/>
              <w:left w:val="single" w:color="auto" w:sz="4" w:space="0"/>
              <w:bottom w:val="single" w:color="auto" w:sz="4" w:space="0"/>
              <w:right w:val="single" w:color="auto" w:sz="4" w:space="0"/>
            </w:tcBorders>
            <w:vAlign w:val="center"/>
          </w:tcPr>
          <w:p>
            <w:pPr>
              <w:widowControl w:val="0"/>
              <w:suppressAutoHyphens w:val="0"/>
              <w:autoSpaceDE w:val="0"/>
              <w:adjustRightInd w:val="0"/>
              <w:jc w:val="center"/>
              <w:textAlignment w:val="auto"/>
              <w:rPr>
                <w:rFonts w:eastAsiaTheme="minorEastAsia"/>
              </w:rPr>
            </w:pPr>
            <w:r>
              <w:rPr>
                <w:rFonts w:eastAsiaTheme="minorEastAsia"/>
              </w:rPr>
              <w:t>-</w:t>
            </w:r>
          </w:p>
        </w:tc>
      </w:tr>
    </w:tbl>
    <w:p>
      <w:pPr>
        <w:widowControl w:val="0"/>
        <w:suppressAutoHyphens w:val="0"/>
        <w:autoSpaceDE w:val="0"/>
        <w:adjustRightInd w:val="0"/>
        <w:ind w:firstLine="540"/>
        <w:jc w:val="both"/>
        <w:textAlignment w:val="auto"/>
        <w:rPr>
          <w:rFonts w:eastAsiaTheme="minorEastAsia"/>
        </w:rPr>
      </w:pPr>
    </w:p>
    <w:p>
      <w:pPr/>
    </w:p>
    <w:p>
      <w:pPr/>
    </w:p>
    <w:p>
      <w:pPr>
        <w:suppressAutoHyphens w:val="0"/>
        <w:autoSpaceDN/>
        <w:jc w:val="center"/>
        <w:textAlignment w:val="auto"/>
        <w:rPr>
          <w:bCs/>
          <w:i/>
          <w:sz w:val="28"/>
          <w:szCs w:val="28"/>
        </w:rPr>
      </w:pPr>
      <w:r>
        <w:rPr>
          <w:bCs/>
          <w:i/>
          <w:sz w:val="28"/>
          <w:szCs w:val="28"/>
        </w:rPr>
        <w:t>Годовой баланс производства и реализации тепловой энергии</w:t>
      </w:r>
    </w:p>
    <w:p>
      <w:pPr>
        <w:suppressAutoHyphens w:val="0"/>
        <w:autoSpaceDN/>
        <w:jc w:val="center"/>
        <w:textAlignment w:val="auto"/>
        <w:rPr>
          <w:bCs/>
          <w:i/>
          <w:sz w:val="28"/>
          <w:szCs w:val="28"/>
        </w:rPr>
      </w:pPr>
      <w:r>
        <w:rPr>
          <w:bCs/>
          <w:i/>
          <w:sz w:val="28"/>
          <w:szCs w:val="28"/>
        </w:rPr>
        <w:t>(Котельная №2 х.Тормосин)</w:t>
      </w:r>
    </w:p>
    <w:p>
      <w:pPr>
        <w:suppressAutoHyphens w:val="0"/>
        <w:autoSpaceDN/>
        <w:jc w:val="center"/>
        <w:textAlignment w:val="auto"/>
        <w:rPr>
          <w:b/>
          <w:bCs/>
          <w:sz w:val="28"/>
        </w:rPr>
      </w:pPr>
    </w:p>
    <w:tbl>
      <w:tblPr>
        <w:tblStyle w:val="28"/>
        <w:tblW w:w="8164" w:type="dxa"/>
        <w:tblInd w:w="59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896"/>
        <w:gridCol w:w="1090"/>
        <w:gridCol w:w="11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Pr>
        <w:tc>
          <w:tcPr>
            <w:tcW w:w="5896" w:type="dxa"/>
            <w:vMerge w:val="restart"/>
            <w:vAlign w:val="center"/>
          </w:tcPr>
          <w:p>
            <w:pPr>
              <w:suppressAutoHyphens w:val="0"/>
              <w:autoSpaceDN/>
              <w:ind w:left="-108" w:right="-66"/>
              <w:jc w:val="center"/>
              <w:textAlignment w:val="auto"/>
            </w:pPr>
            <w:r>
              <w:t>На какие нужды</w:t>
            </w:r>
          </w:p>
        </w:tc>
        <w:tc>
          <w:tcPr>
            <w:tcW w:w="2268" w:type="dxa"/>
            <w:gridSpan w:val="2"/>
          </w:tcPr>
          <w:p>
            <w:pPr>
              <w:suppressAutoHyphens w:val="0"/>
              <w:autoSpaceDN/>
              <w:ind w:left="-108" w:right="-66"/>
              <w:jc w:val="center"/>
              <w:textAlignment w:val="auto"/>
            </w:pPr>
            <w:r>
              <w:t xml:space="preserve">Объем тепловой энергии, </w:t>
            </w:r>
          </w:p>
          <w:p>
            <w:pPr>
              <w:suppressAutoHyphens w:val="0"/>
              <w:autoSpaceDN/>
              <w:ind w:left="-108" w:right="-66"/>
              <w:jc w:val="center"/>
              <w:textAlignment w:val="auto"/>
            </w:pPr>
            <w:r>
              <w:t>Гкал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Pr>
        <w:tc>
          <w:tcPr>
            <w:tcW w:w="5896" w:type="dxa"/>
            <w:vMerge w:val="continue"/>
          </w:tcPr>
          <w:p>
            <w:pPr>
              <w:suppressAutoHyphens w:val="0"/>
              <w:autoSpaceDN/>
              <w:ind w:left="-108" w:right="-66"/>
              <w:jc w:val="center"/>
              <w:textAlignment w:val="auto"/>
            </w:pPr>
          </w:p>
        </w:tc>
        <w:tc>
          <w:tcPr>
            <w:tcW w:w="1090" w:type="dxa"/>
            <w:shd w:val="clear" w:color="auto" w:fill="auto"/>
          </w:tcPr>
          <w:p>
            <w:pPr>
              <w:suppressAutoHyphens w:val="0"/>
              <w:autoSpaceDN/>
              <w:ind w:left="-108" w:right="-66"/>
              <w:jc w:val="center"/>
              <w:textAlignment w:val="auto"/>
            </w:pPr>
            <w:r>
              <w:t>сущест-вующая</w:t>
            </w:r>
          </w:p>
        </w:tc>
        <w:tc>
          <w:tcPr>
            <w:tcW w:w="1178" w:type="dxa"/>
            <w:shd w:val="clear" w:color="auto" w:fill="auto"/>
          </w:tcPr>
          <w:p>
            <w:pPr>
              <w:suppressAutoHyphens w:val="0"/>
              <w:autoSpaceDN/>
              <w:ind w:left="-108" w:right="-66"/>
              <w:jc w:val="center"/>
              <w:textAlignment w:val="auto"/>
            </w:pPr>
            <w:r>
              <w:t>проекти-руемая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896" w:type="dxa"/>
          </w:tcPr>
          <w:p>
            <w:pPr>
              <w:numPr>
                <w:ilvl w:val="0"/>
                <w:numId w:val="1"/>
              </w:numPr>
              <w:tabs>
                <w:tab w:val="left" w:pos="720"/>
              </w:tabs>
              <w:suppressAutoHyphens w:val="0"/>
              <w:autoSpaceDN/>
              <w:jc w:val="center"/>
              <w:textAlignment w:val="auto"/>
            </w:pPr>
          </w:p>
        </w:tc>
        <w:tc>
          <w:tcPr>
            <w:tcW w:w="1090" w:type="dxa"/>
            <w:shd w:val="clear" w:color="auto" w:fill="auto"/>
          </w:tcPr>
          <w:p>
            <w:pPr>
              <w:numPr>
                <w:ilvl w:val="0"/>
                <w:numId w:val="1"/>
              </w:numPr>
              <w:tabs>
                <w:tab w:val="left" w:pos="720"/>
              </w:tabs>
              <w:suppressAutoHyphens w:val="0"/>
              <w:autoSpaceDN/>
              <w:jc w:val="center"/>
              <w:textAlignment w:val="auto"/>
            </w:pPr>
          </w:p>
        </w:tc>
        <w:tc>
          <w:tcPr>
            <w:tcW w:w="1178" w:type="dxa"/>
            <w:shd w:val="clear" w:color="auto" w:fill="auto"/>
          </w:tcPr>
          <w:p>
            <w:pPr>
              <w:numPr>
                <w:ilvl w:val="0"/>
                <w:numId w:val="1"/>
              </w:numPr>
              <w:tabs>
                <w:tab w:val="left" w:pos="720"/>
              </w:tabs>
              <w:suppressAutoHyphens w:val="0"/>
              <w:autoSpaceDN/>
              <w:jc w:val="center"/>
              <w:textAlignment w:val="auto"/>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00" w:hRule="atLeast"/>
        </w:trPr>
        <w:tc>
          <w:tcPr>
            <w:tcW w:w="5896" w:type="dxa"/>
            <w:vAlign w:val="center"/>
          </w:tcPr>
          <w:p>
            <w:pPr>
              <w:suppressAutoHyphens w:val="0"/>
              <w:autoSpaceDN/>
              <w:textAlignment w:val="auto"/>
            </w:pPr>
            <w:r>
              <w:t>Отопление</w:t>
            </w:r>
          </w:p>
        </w:tc>
        <w:tc>
          <w:tcPr>
            <w:tcW w:w="1090" w:type="dxa"/>
            <w:shd w:val="clear" w:color="auto" w:fill="auto"/>
            <w:vAlign w:val="center"/>
          </w:tcPr>
          <w:p>
            <w:pPr>
              <w:suppressAutoHyphens w:val="0"/>
              <w:autoSpaceDN/>
              <w:jc w:val="center"/>
              <w:textAlignment w:val="auto"/>
            </w:pPr>
            <w:r>
              <w:t>431,840</w:t>
            </w:r>
          </w:p>
        </w:tc>
        <w:tc>
          <w:tcPr>
            <w:tcW w:w="1178" w:type="dxa"/>
            <w:shd w:val="clear" w:color="auto" w:fill="auto"/>
            <w:vAlign w:val="center"/>
          </w:tcPr>
          <w:p>
            <w:pPr>
              <w:suppressAutoHyphens w:val="0"/>
              <w:autoSpaceDN/>
              <w:jc w:val="center"/>
              <w:textAlignment w:val="auto"/>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00" w:hRule="atLeast"/>
        </w:trPr>
        <w:tc>
          <w:tcPr>
            <w:tcW w:w="5896" w:type="dxa"/>
            <w:vAlign w:val="center"/>
          </w:tcPr>
          <w:p>
            <w:pPr>
              <w:suppressAutoHyphens w:val="0"/>
              <w:autoSpaceDN/>
              <w:textAlignment w:val="auto"/>
            </w:pPr>
            <w:r>
              <w:t xml:space="preserve">Вентиляция </w:t>
            </w:r>
          </w:p>
        </w:tc>
        <w:tc>
          <w:tcPr>
            <w:tcW w:w="1090" w:type="dxa"/>
            <w:shd w:val="clear" w:color="auto" w:fill="auto"/>
            <w:vAlign w:val="center"/>
          </w:tcPr>
          <w:p>
            <w:pPr>
              <w:suppressAutoHyphens w:val="0"/>
              <w:autoSpaceDN/>
              <w:jc w:val="center"/>
              <w:textAlignment w:val="auto"/>
            </w:pPr>
            <w:r>
              <w:t>52,897</w:t>
            </w:r>
          </w:p>
        </w:tc>
        <w:tc>
          <w:tcPr>
            <w:tcW w:w="1178" w:type="dxa"/>
            <w:shd w:val="clear" w:color="auto" w:fill="auto"/>
            <w:vAlign w:val="center"/>
          </w:tcPr>
          <w:p>
            <w:pPr>
              <w:suppressAutoHyphens w:val="0"/>
              <w:autoSpaceDN/>
              <w:jc w:val="center"/>
              <w:textAlignment w:val="auto"/>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00" w:hRule="atLeast"/>
        </w:trPr>
        <w:tc>
          <w:tcPr>
            <w:tcW w:w="5896" w:type="dxa"/>
            <w:vAlign w:val="center"/>
          </w:tcPr>
          <w:p>
            <w:pPr>
              <w:suppressAutoHyphens w:val="0"/>
              <w:autoSpaceDN/>
              <w:textAlignment w:val="auto"/>
            </w:pPr>
            <w:r>
              <w:t xml:space="preserve">Горячее водоснабжение </w:t>
            </w:r>
          </w:p>
        </w:tc>
        <w:tc>
          <w:tcPr>
            <w:tcW w:w="1090" w:type="dxa"/>
            <w:shd w:val="clear" w:color="auto" w:fill="auto"/>
            <w:vAlign w:val="center"/>
          </w:tcPr>
          <w:p>
            <w:pPr>
              <w:suppressAutoHyphens w:val="0"/>
              <w:autoSpaceDN/>
              <w:jc w:val="center"/>
              <w:textAlignment w:val="auto"/>
            </w:pPr>
            <w:r>
              <w:t>-</w:t>
            </w:r>
          </w:p>
        </w:tc>
        <w:tc>
          <w:tcPr>
            <w:tcW w:w="1178" w:type="dxa"/>
            <w:shd w:val="clear" w:color="auto" w:fill="auto"/>
            <w:vAlign w:val="center"/>
          </w:tcPr>
          <w:p>
            <w:pPr>
              <w:suppressAutoHyphens w:val="0"/>
              <w:autoSpaceDN/>
              <w:jc w:val="center"/>
              <w:textAlignment w:val="auto"/>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00" w:hRule="atLeast"/>
        </w:trPr>
        <w:tc>
          <w:tcPr>
            <w:tcW w:w="5896" w:type="dxa"/>
            <w:vAlign w:val="center"/>
          </w:tcPr>
          <w:p>
            <w:pPr>
              <w:suppressAutoHyphens w:val="0"/>
              <w:autoSpaceDN/>
              <w:textAlignment w:val="auto"/>
            </w:pPr>
            <w:r>
              <w:t>Технологические нужды (производственные)</w:t>
            </w:r>
          </w:p>
        </w:tc>
        <w:tc>
          <w:tcPr>
            <w:tcW w:w="1090" w:type="dxa"/>
            <w:shd w:val="clear" w:color="auto" w:fill="auto"/>
            <w:vAlign w:val="center"/>
          </w:tcPr>
          <w:p>
            <w:pPr>
              <w:suppressAutoHyphens w:val="0"/>
              <w:autoSpaceDN/>
              <w:jc w:val="center"/>
              <w:textAlignment w:val="auto"/>
            </w:pPr>
            <w:r>
              <w:t>-</w:t>
            </w:r>
          </w:p>
        </w:tc>
        <w:tc>
          <w:tcPr>
            <w:tcW w:w="1178" w:type="dxa"/>
            <w:shd w:val="clear" w:color="auto" w:fill="auto"/>
            <w:vAlign w:val="center"/>
          </w:tcPr>
          <w:p>
            <w:pPr>
              <w:suppressAutoHyphens w:val="0"/>
              <w:autoSpaceDN/>
              <w:jc w:val="center"/>
              <w:textAlignment w:val="auto"/>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00" w:hRule="atLeast"/>
        </w:trPr>
        <w:tc>
          <w:tcPr>
            <w:tcW w:w="5896" w:type="dxa"/>
            <w:vAlign w:val="center"/>
          </w:tcPr>
          <w:p>
            <w:pPr>
              <w:suppressAutoHyphens w:val="0"/>
              <w:autoSpaceDN/>
              <w:textAlignment w:val="auto"/>
            </w:pPr>
            <w:r>
              <w:t xml:space="preserve">Собственные нужды котельной </w:t>
            </w:r>
          </w:p>
        </w:tc>
        <w:tc>
          <w:tcPr>
            <w:tcW w:w="1090" w:type="dxa"/>
            <w:shd w:val="clear" w:color="auto" w:fill="auto"/>
            <w:vAlign w:val="center"/>
          </w:tcPr>
          <w:p>
            <w:pPr>
              <w:suppressAutoHyphens w:val="0"/>
              <w:autoSpaceDN/>
              <w:jc w:val="center"/>
              <w:textAlignment w:val="auto"/>
            </w:pPr>
            <w:r>
              <w:t>43,834</w:t>
            </w:r>
          </w:p>
        </w:tc>
        <w:tc>
          <w:tcPr>
            <w:tcW w:w="1178" w:type="dxa"/>
            <w:shd w:val="clear" w:color="auto" w:fill="auto"/>
            <w:vAlign w:val="center"/>
          </w:tcPr>
          <w:p>
            <w:pPr>
              <w:suppressAutoHyphens w:val="0"/>
              <w:autoSpaceDN/>
              <w:jc w:val="center"/>
              <w:textAlignment w:val="auto"/>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00" w:hRule="atLeast"/>
        </w:trPr>
        <w:tc>
          <w:tcPr>
            <w:tcW w:w="5896" w:type="dxa"/>
            <w:vAlign w:val="center"/>
          </w:tcPr>
          <w:p>
            <w:pPr>
              <w:suppressAutoHyphens w:val="0"/>
              <w:autoSpaceDN/>
              <w:textAlignment w:val="auto"/>
            </w:pPr>
            <w:r>
              <w:t xml:space="preserve">Потери в тепловых сетях </w:t>
            </w:r>
          </w:p>
        </w:tc>
        <w:tc>
          <w:tcPr>
            <w:tcW w:w="1090" w:type="dxa"/>
            <w:shd w:val="clear" w:color="auto" w:fill="auto"/>
            <w:vAlign w:val="center"/>
          </w:tcPr>
          <w:p>
            <w:pPr>
              <w:suppressAutoHyphens w:val="0"/>
              <w:autoSpaceDN/>
              <w:jc w:val="center"/>
              <w:textAlignment w:val="auto"/>
            </w:pPr>
            <w:r>
              <w:t>34,265</w:t>
            </w:r>
          </w:p>
        </w:tc>
        <w:tc>
          <w:tcPr>
            <w:tcW w:w="1178" w:type="dxa"/>
            <w:shd w:val="clear" w:color="auto" w:fill="auto"/>
            <w:vAlign w:val="center"/>
          </w:tcPr>
          <w:p>
            <w:pPr>
              <w:suppressAutoHyphens w:val="0"/>
              <w:autoSpaceDN/>
              <w:jc w:val="center"/>
              <w:textAlignment w:val="auto"/>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00" w:hRule="atLeast"/>
        </w:trPr>
        <w:tc>
          <w:tcPr>
            <w:tcW w:w="5896" w:type="dxa"/>
            <w:vAlign w:val="center"/>
          </w:tcPr>
          <w:p>
            <w:pPr>
              <w:suppressAutoHyphens w:val="0"/>
              <w:autoSpaceDN/>
              <w:textAlignment w:val="auto"/>
            </w:pPr>
            <w:r>
              <w:t>ИТОГО:</w:t>
            </w:r>
          </w:p>
        </w:tc>
        <w:tc>
          <w:tcPr>
            <w:tcW w:w="1090" w:type="dxa"/>
            <w:shd w:val="clear" w:color="auto" w:fill="auto"/>
            <w:vAlign w:val="center"/>
          </w:tcPr>
          <w:p>
            <w:pPr>
              <w:suppressAutoHyphens w:val="0"/>
              <w:autoSpaceDN/>
              <w:jc w:val="center"/>
              <w:textAlignment w:val="auto"/>
            </w:pPr>
            <w:r>
              <w:t>519,002</w:t>
            </w:r>
          </w:p>
        </w:tc>
        <w:tc>
          <w:tcPr>
            <w:tcW w:w="1178" w:type="dxa"/>
            <w:shd w:val="clear" w:color="auto" w:fill="auto"/>
            <w:vAlign w:val="center"/>
          </w:tcPr>
          <w:p>
            <w:pPr>
              <w:suppressAutoHyphens w:val="0"/>
              <w:autoSpaceDN/>
              <w:jc w:val="center"/>
              <w:textAlignment w:val="auto"/>
            </w:pPr>
            <w:r>
              <w:t>-</w:t>
            </w:r>
          </w:p>
        </w:tc>
      </w:tr>
    </w:tbl>
    <w:p>
      <w:pPr>
        <w:suppressAutoHyphens w:val="0"/>
        <w:autoSpaceDN/>
        <w:textAlignment w:val="auto"/>
        <w:rPr>
          <w:i/>
          <w:sz w:val="28"/>
          <w:szCs w:val="28"/>
        </w:rPr>
      </w:pPr>
    </w:p>
    <w:p>
      <w:pPr>
        <w:suppressAutoHyphens w:val="0"/>
        <w:autoSpaceDN/>
        <w:jc w:val="center"/>
        <w:textAlignment w:val="auto"/>
        <w:rPr>
          <w:i/>
          <w:sz w:val="28"/>
          <w:szCs w:val="28"/>
        </w:rPr>
      </w:pPr>
    </w:p>
    <w:p>
      <w:pPr>
        <w:suppressAutoHyphens w:val="0"/>
        <w:autoSpaceDN/>
        <w:jc w:val="center"/>
        <w:textAlignment w:val="auto"/>
        <w:rPr>
          <w:i/>
          <w:sz w:val="28"/>
          <w:szCs w:val="28"/>
        </w:rPr>
      </w:pPr>
    </w:p>
    <w:p>
      <w:pPr>
        <w:suppressAutoHyphens w:val="0"/>
        <w:autoSpaceDN/>
        <w:jc w:val="center"/>
        <w:textAlignment w:val="auto"/>
        <w:rPr>
          <w:i/>
          <w:sz w:val="28"/>
          <w:szCs w:val="28"/>
        </w:rPr>
      </w:pPr>
    </w:p>
    <w:p>
      <w:pPr>
        <w:suppressAutoHyphens w:val="0"/>
        <w:autoSpaceDN/>
        <w:jc w:val="center"/>
        <w:textAlignment w:val="auto"/>
        <w:rPr>
          <w:i/>
          <w:sz w:val="28"/>
          <w:szCs w:val="28"/>
        </w:rPr>
      </w:pPr>
      <w:r>
        <w:rPr>
          <w:i/>
          <w:sz w:val="28"/>
          <w:szCs w:val="28"/>
        </w:rPr>
        <w:t>Потребность в топливе за отопительный период по  котельной №2.</w:t>
      </w:r>
    </w:p>
    <w:p>
      <w:pPr>
        <w:suppressAutoHyphens w:val="0"/>
        <w:autoSpaceDN/>
        <w:jc w:val="center"/>
        <w:textAlignment w:val="auto"/>
        <w:rPr>
          <w:sz w:val="28"/>
          <w:szCs w:val="28"/>
        </w:rPr>
      </w:pPr>
    </w:p>
    <w:p>
      <w:pPr>
        <w:suppressAutoHyphens w:val="0"/>
        <w:autoSpaceDN/>
        <w:textAlignment w:val="auto"/>
        <w:rPr>
          <w:sz w:val="28"/>
          <w:szCs w:val="28"/>
        </w:rPr>
      </w:pPr>
      <w:r>
        <w:rPr>
          <w:sz w:val="28"/>
          <w:szCs w:val="28"/>
        </w:rPr>
        <w:t>Количество требуемого печного топлива за расчетный период в м3</w:t>
      </w:r>
      <w:r>
        <w:rPr>
          <w:sz w:val="28"/>
          <w:szCs w:val="28"/>
        </w:rPr>
        <w:tab/>
      </w:r>
      <w:r>
        <w:rPr>
          <w:sz w:val="28"/>
          <w:szCs w:val="28"/>
        </w:rPr>
        <w:t xml:space="preserve"> 71,394</w:t>
      </w:r>
    </w:p>
    <w:p>
      <w:pPr>
        <w:suppressAutoHyphens w:val="0"/>
        <w:autoSpaceDN/>
        <w:textAlignment w:val="auto"/>
        <w:rPr>
          <w:sz w:val="28"/>
          <w:szCs w:val="28"/>
        </w:rPr>
      </w:pPr>
      <w:r>
        <w:rPr>
          <w:sz w:val="28"/>
          <w:szCs w:val="28"/>
        </w:rPr>
        <w:t>Количество требуемого печного топлива за расчетный период в  т</w:t>
      </w:r>
      <w:r>
        <w:rPr>
          <w:sz w:val="28"/>
          <w:szCs w:val="28"/>
        </w:rPr>
        <w:tab/>
      </w:r>
      <w:r>
        <w:rPr>
          <w:sz w:val="28"/>
          <w:szCs w:val="28"/>
        </w:rPr>
        <w:t xml:space="preserve"> 61,613</w:t>
      </w:r>
    </w:p>
    <w:p>
      <w:pPr>
        <w:suppressAutoHyphens w:val="0"/>
        <w:autoSpaceDN/>
        <w:textAlignment w:val="auto"/>
        <w:rPr>
          <w:sz w:val="28"/>
          <w:szCs w:val="28"/>
        </w:rPr>
      </w:pPr>
      <w:r>
        <w:rPr>
          <w:sz w:val="28"/>
          <w:szCs w:val="28"/>
        </w:rPr>
        <w:t>Количество требуемого условного топлива за расчетный период в ТУТ 89,339</w:t>
      </w:r>
    </w:p>
    <w:p>
      <w:pPr>
        <w:suppressAutoHyphens w:val="0"/>
        <w:autoSpaceDN/>
        <w:jc w:val="center"/>
        <w:textAlignment w:val="auto"/>
        <w:rPr>
          <w:sz w:val="28"/>
          <w:szCs w:val="28"/>
        </w:rPr>
      </w:pPr>
      <w:r>
        <w:rPr>
          <w:sz w:val="28"/>
          <w:szCs w:val="28"/>
        </w:rPr>
        <w:tab/>
      </w:r>
    </w:p>
    <w:p>
      <w:pPr>
        <w:suppressAutoHyphens w:val="0"/>
        <w:autoSpaceDN/>
        <w:jc w:val="center"/>
        <w:textAlignment w:val="auto"/>
        <w:rPr>
          <w:i/>
          <w:sz w:val="28"/>
          <w:szCs w:val="28"/>
        </w:rPr>
      </w:pPr>
    </w:p>
    <w:p>
      <w:pPr>
        <w:suppressAutoHyphens w:val="0"/>
        <w:autoSpaceDN/>
        <w:jc w:val="center"/>
        <w:textAlignment w:val="auto"/>
        <w:rPr>
          <w:i/>
          <w:sz w:val="28"/>
          <w:szCs w:val="28"/>
        </w:rPr>
      </w:pPr>
      <w:r>
        <w:rPr>
          <w:i/>
          <w:sz w:val="28"/>
          <w:szCs w:val="28"/>
        </w:rPr>
        <w:t xml:space="preserve">Расчет предполагаемого расхода печного топлива по  котельной №2 </w:t>
      </w:r>
    </w:p>
    <w:p>
      <w:pPr>
        <w:suppressAutoHyphens w:val="0"/>
        <w:autoSpaceDN/>
        <w:jc w:val="center"/>
        <w:textAlignment w:val="auto"/>
        <w:rPr>
          <w:i/>
          <w:sz w:val="28"/>
          <w:szCs w:val="28"/>
        </w:rPr>
      </w:pPr>
      <w:r>
        <w:rPr>
          <w:i/>
          <w:sz w:val="28"/>
          <w:szCs w:val="28"/>
        </w:rPr>
        <w:t>в  х.Тормосин   за сезон</w:t>
      </w:r>
    </w:p>
    <w:p>
      <w:pPr>
        <w:suppressAutoHyphens w:val="0"/>
        <w:autoSpaceDN/>
        <w:jc w:val="center"/>
        <w:textAlignment w:val="auto"/>
        <w:rPr>
          <w:sz w:val="28"/>
          <w:szCs w:val="28"/>
        </w:rPr>
      </w:pPr>
    </w:p>
    <w:tbl>
      <w:tblPr>
        <w:tblStyle w:val="28"/>
        <w:tblW w:w="9781" w:type="dxa"/>
        <w:tblInd w:w="108" w:type="dxa"/>
        <w:tblLayout w:type="fixed"/>
        <w:tblCellMar>
          <w:top w:w="0" w:type="dxa"/>
          <w:left w:w="108" w:type="dxa"/>
          <w:bottom w:w="0" w:type="dxa"/>
          <w:right w:w="108" w:type="dxa"/>
        </w:tblCellMar>
      </w:tblPr>
      <w:tblGrid>
        <w:gridCol w:w="1062"/>
        <w:gridCol w:w="3529"/>
        <w:gridCol w:w="1180"/>
        <w:gridCol w:w="1375"/>
        <w:gridCol w:w="2635"/>
      </w:tblGrid>
      <w:tr>
        <w:tblPrEx>
          <w:tblLayout w:type="fixed"/>
          <w:tblCellMar>
            <w:top w:w="0" w:type="dxa"/>
            <w:left w:w="108" w:type="dxa"/>
            <w:bottom w:w="0" w:type="dxa"/>
            <w:right w:w="108" w:type="dxa"/>
          </w:tblCellMar>
        </w:tblPrEx>
        <w:trPr>
          <w:trHeight w:val="315" w:hRule="atLeast"/>
        </w:trPr>
        <w:tc>
          <w:tcPr>
            <w:tcW w:w="1062" w:type="dxa"/>
            <w:tcBorders>
              <w:top w:val="single" w:color="auto" w:sz="4" w:space="0"/>
              <w:left w:val="single" w:color="auto" w:sz="4" w:space="0"/>
              <w:bottom w:val="nil"/>
              <w:right w:val="single" w:color="auto" w:sz="4" w:space="0"/>
            </w:tcBorders>
            <w:shd w:val="clear" w:color="auto" w:fill="auto"/>
            <w:vAlign w:val="bottom"/>
          </w:tcPr>
          <w:p>
            <w:pPr>
              <w:suppressAutoHyphens w:val="0"/>
              <w:autoSpaceDN/>
              <w:jc w:val="center"/>
              <w:textAlignment w:val="auto"/>
              <w:rPr>
                <w:color w:val="000000"/>
              </w:rPr>
            </w:pPr>
            <w:r>
              <w:rPr>
                <w:color w:val="000000"/>
              </w:rPr>
              <w:t xml:space="preserve">Услов- </w:t>
            </w:r>
          </w:p>
        </w:tc>
        <w:tc>
          <w:tcPr>
            <w:tcW w:w="3529" w:type="dxa"/>
            <w:tcBorders>
              <w:top w:val="single" w:color="auto" w:sz="4" w:space="0"/>
              <w:left w:val="nil"/>
              <w:bottom w:val="nil"/>
              <w:right w:val="single" w:color="auto" w:sz="4" w:space="0"/>
            </w:tcBorders>
            <w:shd w:val="clear" w:color="auto" w:fill="auto"/>
            <w:vAlign w:val="bottom"/>
          </w:tcPr>
          <w:p>
            <w:pPr>
              <w:suppressAutoHyphens w:val="0"/>
              <w:autoSpaceDN/>
              <w:jc w:val="center"/>
              <w:textAlignment w:val="auto"/>
              <w:rPr>
                <w:color w:val="000000"/>
              </w:rPr>
            </w:pPr>
            <w:r>
              <w:rPr>
                <w:color w:val="000000"/>
              </w:rPr>
              <w:t> </w:t>
            </w:r>
          </w:p>
        </w:tc>
        <w:tc>
          <w:tcPr>
            <w:tcW w:w="1180" w:type="dxa"/>
            <w:tcBorders>
              <w:top w:val="single" w:color="auto" w:sz="4" w:space="0"/>
              <w:left w:val="nil"/>
              <w:bottom w:val="nil"/>
              <w:right w:val="nil"/>
            </w:tcBorders>
            <w:shd w:val="clear" w:color="auto" w:fill="auto"/>
            <w:vAlign w:val="bottom"/>
          </w:tcPr>
          <w:p>
            <w:pPr>
              <w:suppressAutoHyphens w:val="0"/>
              <w:autoSpaceDN/>
              <w:jc w:val="center"/>
              <w:textAlignment w:val="auto"/>
              <w:rPr>
                <w:color w:val="000000"/>
              </w:rPr>
            </w:pPr>
            <w:r>
              <w:rPr>
                <w:color w:val="000000"/>
              </w:rPr>
              <w:t>Зна-</w:t>
            </w:r>
          </w:p>
        </w:tc>
        <w:tc>
          <w:tcPr>
            <w:tcW w:w="1375" w:type="dxa"/>
            <w:tcBorders>
              <w:top w:val="single" w:color="auto" w:sz="4" w:space="0"/>
              <w:left w:val="single" w:color="auto" w:sz="4" w:space="0"/>
              <w:bottom w:val="nil"/>
              <w:right w:val="single" w:color="auto" w:sz="4" w:space="0"/>
            </w:tcBorders>
            <w:shd w:val="clear" w:color="auto" w:fill="auto"/>
            <w:vAlign w:val="bottom"/>
          </w:tcPr>
          <w:p>
            <w:pPr>
              <w:suppressAutoHyphens w:val="0"/>
              <w:autoSpaceDN/>
              <w:jc w:val="center"/>
              <w:textAlignment w:val="auto"/>
              <w:rPr>
                <w:color w:val="000000"/>
              </w:rPr>
            </w:pPr>
            <w:r>
              <w:rPr>
                <w:color w:val="000000"/>
              </w:rPr>
              <w:t>Единица</w:t>
            </w:r>
          </w:p>
        </w:tc>
        <w:tc>
          <w:tcPr>
            <w:tcW w:w="2635" w:type="dxa"/>
            <w:vMerge w:val="restart"/>
            <w:tcBorders>
              <w:top w:val="single" w:color="auto" w:sz="4" w:space="0"/>
              <w:left w:val="single" w:color="auto" w:sz="4" w:space="0"/>
              <w:bottom w:val="single" w:color="000000"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Основание, формула</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nil"/>
              <w:right w:val="single" w:color="auto" w:sz="4" w:space="0"/>
            </w:tcBorders>
            <w:shd w:val="clear" w:color="auto" w:fill="auto"/>
            <w:vAlign w:val="bottom"/>
          </w:tcPr>
          <w:p>
            <w:pPr>
              <w:suppressAutoHyphens w:val="0"/>
              <w:autoSpaceDN/>
              <w:jc w:val="center"/>
              <w:textAlignment w:val="auto"/>
              <w:rPr>
                <w:color w:val="000000"/>
              </w:rPr>
            </w:pPr>
            <w:r>
              <w:rPr>
                <w:color w:val="000000"/>
              </w:rPr>
              <w:t>ное</w:t>
            </w:r>
          </w:p>
        </w:tc>
        <w:tc>
          <w:tcPr>
            <w:tcW w:w="3529" w:type="dxa"/>
            <w:tcBorders>
              <w:top w:val="nil"/>
              <w:left w:val="nil"/>
              <w:bottom w:val="nil"/>
              <w:right w:val="single" w:color="auto" w:sz="4" w:space="0"/>
            </w:tcBorders>
            <w:shd w:val="clear" w:color="auto" w:fill="auto"/>
            <w:vAlign w:val="bottom"/>
          </w:tcPr>
          <w:p>
            <w:pPr>
              <w:suppressAutoHyphens w:val="0"/>
              <w:autoSpaceDN/>
              <w:jc w:val="center"/>
              <w:textAlignment w:val="auto"/>
              <w:rPr>
                <w:color w:val="000000"/>
              </w:rPr>
            </w:pPr>
            <w:r>
              <w:rPr>
                <w:color w:val="000000"/>
              </w:rPr>
              <w:t>Наименование</w:t>
            </w:r>
          </w:p>
        </w:tc>
        <w:tc>
          <w:tcPr>
            <w:tcW w:w="1180" w:type="dxa"/>
            <w:tcBorders>
              <w:top w:val="nil"/>
              <w:left w:val="nil"/>
              <w:bottom w:val="nil"/>
              <w:right w:val="nil"/>
            </w:tcBorders>
            <w:shd w:val="clear" w:color="auto" w:fill="auto"/>
            <w:vAlign w:val="bottom"/>
          </w:tcPr>
          <w:p>
            <w:pPr>
              <w:suppressAutoHyphens w:val="0"/>
              <w:autoSpaceDN/>
              <w:jc w:val="center"/>
              <w:textAlignment w:val="auto"/>
              <w:rPr>
                <w:color w:val="000000"/>
              </w:rPr>
            </w:pPr>
            <w:r>
              <w:rPr>
                <w:color w:val="000000"/>
              </w:rPr>
              <w:t>чение</w:t>
            </w:r>
          </w:p>
        </w:tc>
        <w:tc>
          <w:tcPr>
            <w:tcW w:w="1375" w:type="dxa"/>
            <w:tcBorders>
              <w:top w:val="nil"/>
              <w:left w:val="single" w:color="auto" w:sz="4" w:space="0"/>
              <w:bottom w:val="nil"/>
              <w:right w:val="single" w:color="auto" w:sz="4" w:space="0"/>
            </w:tcBorders>
            <w:shd w:val="clear" w:color="auto" w:fill="auto"/>
            <w:vAlign w:val="bottom"/>
          </w:tcPr>
          <w:p>
            <w:pPr>
              <w:suppressAutoHyphens w:val="0"/>
              <w:autoSpaceDN/>
              <w:jc w:val="center"/>
              <w:textAlignment w:val="auto"/>
              <w:rPr>
                <w:color w:val="000000"/>
              </w:rPr>
            </w:pPr>
            <w:r>
              <w:rPr>
                <w:color w:val="000000"/>
              </w:rPr>
              <w:t>изме-</w:t>
            </w:r>
          </w:p>
        </w:tc>
        <w:tc>
          <w:tcPr>
            <w:tcW w:w="2635" w:type="dxa"/>
            <w:vMerge w:val="continue"/>
            <w:tcBorders>
              <w:top w:val="single" w:color="auto" w:sz="4" w:space="0"/>
              <w:left w:val="single" w:color="auto" w:sz="4" w:space="0"/>
              <w:bottom w:val="single" w:color="000000" w:sz="4" w:space="0"/>
              <w:right w:val="single" w:color="auto" w:sz="4" w:space="0"/>
            </w:tcBorders>
            <w:vAlign w:val="center"/>
          </w:tcPr>
          <w:p>
            <w:pPr>
              <w:suppressAutoHyphens w:val="0"/>
              <w:autoSpaceDN/>
              <w:textAlignment w:val="auto"/>
              <w:rPr>
                <w:color w:val="000000"/>
              </w:rPr>
            </w:pP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nil"/>
              <w:right w:val="single" w:color="auto" w:sz="4" w:space="0"/>
            </w:tcBorders>
            <w:shd w:val="clear" w:color="auto" w:fill="auto"/>
            <w:vAlign w:val="bottom"/>
          </w:tcPr>
          <w:p>
            <w:pPr>
              <w:suppressAutoHyphens w:val="0"/>
              <w:autoSpaceDN/>
              <w:jc w:val="center"/>
              <w:textAlignment w:val="auto"/>
              <w:rPr>
                <w:color w:val="000000"/>
              </w:rPr>
            </w:pPr>
            <w:r>
              <w:rPr>
                <w:color w:val="000000"/>
              </w:rPr>
              <w:t>обозна-</w:t>
            </w:r>
          </w:p>
        </w:tc>
        <w:tc>
          <w:tcPr>
            <w:tcW w:w="3529" w:type="dxa"/>
            <w:tcBorders>
              <w:top w:val="nil"/>
              <w:left w:val="nil"/>
              <w:bottom w:val="nil"/>
              <w:right w:val="single" w:color="auto" w:sz="4" w:space="0"/>
            </w:tcBorders>
            <w:shd w:val="clear" w:color="auto" w:fill="auto"/>
            <w:vAlign w:val="bottom"/>
          </w:tcPr>
          <w:p>
            <w:pPr>
              <w:suppressAutoHyphens w:val="0"/>
              <w:autoSpaceDN/>
              <w:jc w:val="center"/>
              <w:textAlignment w:val="auto"/>
              <w:rPr>
                <w:color w:val="000000"/>
              </w:rPr>
            </w:pPr>
            <w:r>
              <w:rPr>
                <w:color w:val="000000"/>
              </w:rPr>
              <w:t>показателя</w:t>
            </w:r>
          </w:p>
        </w:tc>
        <w:tc>
          <w:tcPr>
            <w:tcW w:w="1180" w:type="dxa"/>
            <w:tcBorders>
              <w:top w:val="nil"/>
              <w:left w:val="nil"/>
              <w:bottom w:val="nil"/>
              <w:right w:val="nil"/>
            </w:tcBorders>
            <w:shd w:val="clear" w:color="auto" w:fill="auto"/>
            <w:vAlign w:val="bottom"/>
          </w:tcPr>
          <w:p>
            <w:pPr>
              <w:suppressAutoHyphens w:val="0"/>
              <w:autoSpaceDN/>
              <w:jc w:val="center"/>
              <w:textAlignment w:val="auto"/>
              <w:rPr>
                <w:color w:val="000000"/>
              </w:rPr>
            </w:pPr>
            <w:r>
              <w:rPr>
                <w:color w:val="000000"/>
              </w:rPr>
              <w:t>пока-</w:t>
            </w:r>
          </w:p>
        </w:tc>
        <w:tc>
          <w:tcPr>
            <w:tcW w:w="1375" w:type="dxa"/>
            <w:tcBorders>
              <w:top w:val="nil"/>
              <w:left w:val="single" w:color="auto" w:sz="4" w:space="0"/>
              <w:bottom w:val="nil"/>
              <w:right w:val="single" w:color="auto" w:sz="4" w:space="0"/>
            </w:tcBorders>
            <w:shd w:val="clear" w:color="auto" w:fill="auto"/>
            <w:vAlign w:val="bottom"/>
          </w:tcPr>
          <w:p>
            <w:pPr>
              <w:suppressAutoHyphens w:val="0"/>
              <w:autoSpaceDN/>
              <w:jc w:val="center"/>
              <w:textAlignment w:val="auto"/>
              <w:rPr>
                <w:color w:val="000000"/>
              </w:rPr>
            </w:pPr>
            <w:r>
              <w:rPr>
                <w:color w:val="000000"/>
              </w:rPr>
              <w:t>рения</w:t>
            </w:r>
          </w:p>
        </w:tc>
        <w:tc>
          <w:tcPr>
            <w:tcW w:w="2635" w:type="dxa"/>
            <w:vMerge w:val="continue"/>
            <w:tcBorders>
              <w:top w:val="single" w:color="auto" w:sz="4" w:space="0"/>
              <w:left w:val="single" w:color="auto" w:sz="4" w:space="0"/>
              <w:bottom w:val="single" w:color="000000" w:sz="4" w:space="0"/>
              <w:right w:val="single" w:color="auto" w:sz="4" w:space="0"/>
            </w:tcBorders>
            <w:vAlign w:val="center"/>
          </w:tcPr>
          <w:p>
            <w:pPr>
              <w:suppressAutoHyphens w:val="0"/>
              <w:autoSpaceDN/>
              <w:textAlignment w:val="auto"/>
              <w:rPr>
                <w:color w:val="000000"/>
              </w:rPr>
            </w:pP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color w:val="000000"/>
              </w:rPr>
            </w:pPr>
            <w:r>
              <w:rPr>
                <w:color w:val="000000"/>
                <w:sz w:val="22"/>
                <w:szCs w:val="22"/>
              </w:rPr>
              <w:t>чение</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jc w:val="center"/>
              <w:textAlignment w:val="auto"/>
              <w:rPr>
                <w:color w:val="000000"/>
              </w:rPr>
            </w:pPr>
            <w:r>
              <w:rPr>
                <w:color w:val="000000"/>
              </w:rPr>
              <w:t> </w:t>
            </w:r>
          </w:p>
        </w:tc>
        <w:tc>
          <w:tcPr>
            <w:tcW w:w="1180" w:type="dxa"/>
            <w:tcBorders>
              <w:top w:val="nil"/>
              <w:left w:val="nil"/>
              <w:bottom w:val="single" w:color="auto" w:sz="4" w:space="0"/>
              <w:right w:val="nil"/>
            </w:tcBorders>
            <w:shd w:val="clear" w:color="auto" w:fill="auto"/>
            <w:vAlign w:val="bottom"/>
          </w:tcPr>
          <w:p>
            <w:pPr>
              <w:suppressAutoHyphens w:val="0"/>
              <w:autoSpaceDN/>
              <w:jc w:val="center"/>
              <w:textAlignment w:val="auto"/>
              <w:rPr>
                <w:color w:val="000000"/>
              </w:rPr>
            </w:pPr>
            <w:r>
              <w:rPr>
                <w:color w:val="000000"/>
              </w:rPr>
              <w:t>зателя</w:t>
            </w:r>
          </w:p>
        </w:tc>
        <w:tc>
          <w:tcPr>
            <w:tcW w:w="1375" w:type="dxa"/>
            <w:tcBorders>
              <w:top w:val="nil"/>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color w:val="000000"/>
              </w:rPr>
            </w:pPr>
            <w:r>
              <w:rPr>
                <w:color w:val="000000"/>
                <w:sz w:val="22"/>
                <w:szCs w:val="22"/>
              </w:rPr>
              <w:t> </w:t>
            </w:r>
          </w:p>
        </w:tc>
        <w:tc>
          <w:tcPr>
            <w:tcW w:w="2635" w:type="dxa"/>
            <w:vMerge w:val="continue"/>
            <w:tcBorders>
              <w:top w:val="single" w:color="auto" w:sz="4" w:space="0"/>
              <w:left w:val="single" w:color="auto" w:sz="4" w:space="0"/>
              <w:bottom w:val="single" w:color="000000" w:sz="4" w:space="0"/>
              <w:right w:val="single" w:color="auto" w:sz="4" w:space="0"/>
            </w:tcBorders>
            <w:vAlign w:val="center"/>
          </w:tcPr>
          <w:p>
            <w:pPr>
              <w:suppressAutoHyphens w:val="0"/>
              <w:autoSpaceDN/>
              <w:textAlignment w:val="auto"/>
              <w:rPr>
                <w:color w:val="000000"/>
              </w:rPr>
            </w:pP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B</w:t>
            </w:r>
            <w:r>
              <w:rPr>
                <w:color w:val="000000"/>
                <w:sz w:val="16"/>
                <w:szCs w:val="16"/>
              </w:rPr>
              <w:t>нат</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Количество израсходованного печного топлива за отчетный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71,394</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м3</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Bнат / pплотн</w:t>
            </w:r>
          </w:p>
        </w:tc>
      </w:tr>
      <w:tr>
        <w:tblPrEx>
          <w:tblLayout w:type="fixed"/>
          <w:tblCellMar>
            <w:top w:w="0" w:type="dxa"/>
            <w:left w:w="108" w:type="dxa"/>
            <w:bottom w:w="0" w:type="dxa"/>
            <w:right w:w="108" w:type="dxa"/>
          </w:tblCellMar>
        </w:tblPrEx>
        <w:trPr>
          <w:trHeight w:val="43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p</w:t>
            </w:r>
            <w:r>
              <w:rPr>
                <w:color w:val="000000"/>
                <w:sz w:val="16"/>
                <w:szCs w:val="16"/>
              </w:rPr>
              <w:t>потн</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Плотность печного топлива при 20 °С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0,863</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т/м3</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xml:space="preserve">Показания  ареометра при пересчете результатов на плотность при t =20°С </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B</w:t>
            </w:r>
            <w:r>
              <w:rPr>
                <w:color w:val="000000"/>
                <w:sz w:val="16"/>
                <w:szCs w:val="16"/>
              </w:rPr>
              <w:t>нат</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Количество израсходованного печного топлива за расчетный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61,613</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xml:space="preserve">т </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Bусл / Э                                   (1) "12"</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B</w:t>
            </w:r>
            <w:r>
              <w:rPr>
                <w:color w:val="000000"/>
                <w:sz w:val="16"/>
                <w:szCs w:val="16"/>
              </w:rPr>
              <w:t>усл</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Количество израсходованного условного топлива за отчетный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89,339</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ТУТ</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Qвыр * b * 0,001                     (1) "11"</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Э</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Калорийный эквивалент</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1,45</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Qр.н.н/Qр.н.у.                         (1) "13"</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р.н.н</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Низшая  теплота  сгорания  натурального (печного) топлива</w:t>
            </w:r>
          </w:p>
        </w:tc>
        <w:tc>
          <w:tcPr>
            <w:tcW w:w="1180" w:type="dxa"/>
            <w:tcBorders>
              <w:top w:val="nil"/>
              <w:left w:val="nil"/>
              <w:bottom w:val="single" w:color="auto" w:sz="4" w:space="0"/>
              <w:right w:val="single" w:color="auto" w:sz="4" w:space="0"/>
            </w:tcBorders>
            <w:shd w:val="clear" w:color="000000" w:fill="FFFFFF"/>
            <w:vAlign w:val="center"/>
          </w:tcPr>
          <w:p>
            <w:pPr>
              <w:suppressAutoHyphens w:val="0"/>
              <w:autoSpaceDN/>
              <w:jc w:val="center"/>
              <w:textAlignment w:val="auto"/>
              <w:rPr>
                <w:color w:val="00B050"/>
              </w:rPr>
            </w:pPr>
            <w:r>
              <w:rPr>
                <w:color w:val="00B050"/>
              </w:rPr>
              <w:t>10150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xml:space="preserve">ккал/кг </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 "прилож8"</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р.н.у.</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Низшая  теплота  сгорания  условного топлива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7000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xml:space="preserve">ккал/кг </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 "прилож8"</w:t>
            </w:r>
          </w:p>
        </w:tc>
      </w:tr>
      <w:tr>
        <w:tblPrEx>
          <w:tblLayout w:type="fixed"/>
          <w:tblCellMar>
            <w:top w:w="0" w:type="dxa"/>
            <w:left w:w="108" w:type="dxa"/>
            <w:bottom w:w="0" w:type="dxa"/>
            <w:right w:w="108" w:type="dxa"/>
          </w:tblCellMar>
        </w:tblPrEx>
        <w:trPr>
          <w:trHeight w:val="51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выр</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Количество выработанной  (котельной)  тепловой энергии за расчетный период</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519,002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Qзд.+Qп.с.+Qкот                           (1) "п.2.19"</w:t>
            </w:r>
          </w:p>
        </w:tc>
      </w:tr>
      <w:tr>
        <w:tblPrEx>
          <w:tblLayout w:type="fixed"/>
          <w:tblCellMar>
            <w:top w:w="0" w:type="dxa"/>
            <w:left w:w="108" w:type="dxa"/>
            <w:bottom w:w="0" w:type="dxa"/>
            <w:right w:w="108" w:type="dxa"/>
          </w:tblCellMar>
        </w:tblPrEx>
        <w:trPr>
          <w:trHeight w:val="52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b</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Норматив удельного расхода топлива на выработанную тепловую энергию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172,1</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кг у.т./Гкал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bинд./(1-Qкот/(Qкот+Qвыр)    (6) "п.50.1ф.96.1" (1) "п.2.11.1ф.6"</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КПД</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Коэффициент полезного действия котлагрегата брутто</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B050"/>
              </w:rPr>
            </w:pPr>
            <w:r>
              <w:rPr>
                <w:color w:val="00B050"/>
              </w:rPr>
              <w:t>90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Паспорт на котел</w:t>
            </w:r>
          </w:p>
        </w:tc>
      </w:tr>
      <w:tr>
        <w:tblPrEx>
          <w:tblLayout w:type="fixed"/>
          <w:tblCellMar>
            <w:top w:w="0" w:type="dxa"/>
            <w:left w:w="108" w:type="dxa"/>
            <w:bottom w:w="0" w:type="dxa"/>
            <w:right w:w="108" w:type="dxa"/>
          </w:tblCellMar>
        </w:tblPrEx>
        <w:trPr>
          <w:trHeight w:val="51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b</w:t>
            </w:r>
            <w:r>
              <w:rPr>
                <w:color w:val="000000"/>
                <w:sz w:val="16"/>
                <w:szCs w:val="16"/>
              </w:rPr>
              <w:t>инд.</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Индивидуальный норматив расхода топлива  на производство тепловой энергии котлом</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158,730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кг у.т./Гкал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bинд.ном*К1        (6) "п.п.49.5;49.6" (1) "п.2.10 ф.5"</w:t>
            </w:r>
          </w:p>
        </w:tc>
      </w:tr>
      <w:tr>
        <w:tblPrEx>
          <w:tblLayout w:type="fixed"/>
          <w:tblCellMar>
            <w:top w:w="0" w:type="dxa"/>
            <w:left w:w="108" w:type="dxa"/>
            <w:bottom w:w="0" w:type="dxa"/>
            <w:right w:w="108" w:type="dxa"/>
          </w:tblCellMar>
        </w:tblPrEx>
        <w:trPr>
          <w:trHeight w:val="51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b</w:t>
            </w:r>
            <w:r>
              <w:rPr>
                <w:color w:val="000000"/>
                <w:sz w:val="16"/>
                <w:szCs w:val="16"/>
              </w:rPr>
              <w:t>инд.ном</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Индивидуальный норматив расхода топлива  для котлоагрегатов на номинальной нагрузке</w:t>
            </w:r>
          </w:p>
        </w:tc>
        <w:tc>
          <w:tcPr>
            <w:tcW w:w="1180"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158,730</w:t>
            </w:r>
          </w:p>
        </w:tc>
        <w:tc>
          <w:tcPr>
            <w:tcW w:w="1375"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кг у.т./Гкал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(6) п.45 таб.1;(1) "прилож1" ; 1/7000*кпд (6) п.45;(1) "п.2.9.1ф1"</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К1</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Коэффициент, учитывающий эксплуатационную нагрузку котлов</w:t>
            </w:r>
          </w:p>
        </w:tc>
        <w:tc>
          <w:tcPr>
            <w:tcW w:w="1180" w:type="dxa"/>
            <w:tcBorders>
              <w:top w:val="single" w:color="auto" w:sz="4" w:space="0"/>
              <w:left w:val="nil"/>
              <w:bottom w:val="single" w:color="auto" w:sz="4" w:space="0"/>
              <w:right w:val="single" w:color="auto" w:sz="4" w:space="0"/>
            </w:tcBorders>
            <w:shd w:val="clear" w:color="auto" w:fill="auto"/>
            <w:vAlign w:val="center"/>
          </w:tcPr>
          <w:p>
            <w:pPr>
              <w:suppressAutoHyphens w:val="0"/>
              <w:autoSpaceDN/>
              <w:jc w:val="center"/>
              <w:textAlignment w:val="auto"/>
            </w:pPr>
            <w:r>
              <w:t>1</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(6) п.49.1, таб.3</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час</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Часовая выработка тепловой энергии  котлом (по паспортной характеристике)</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0,21496</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час</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Часовая выработка тепловой энергии  котлом (по паспортной характеристике)</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0,25</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МВт</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78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кот</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Расход тепловой энергии на собственные нужды котельной</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43,834</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Qкот.прод +Qкот.отоп. + Qкот.раст+Qкот.друг.+Qкот.агрег.                                  (6) "п.51ф.97"</w:t>
            </w:r>
          </w:p>
        </w:tc>
      </w:tr>
      <w:tr>
        <w:tblPrEx>
          <w:tblLayout w:type="fixed"/>
          <w:tblCellMar>
            <w:top w:w="0" w:type="dxa"/>
            <w:left w:w="108" w:type="dxa"/>
            <w:bottom w:w="0" w:type="dxa"/>
            <w:right w:w="108" w:type="dxa"/>
          </w:tblCellMar>
        </w:tblPrEx>
        <w:trPr>
          <w:trHeight w:val="55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 </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Qкот.агрег. </w:t>
            </w:r>
            <w:r>
              <w:rPr>
                <w:color w:val="FF0000"/>
              </w:rPr>
              <w:t xml:space="preserve">Больше </w:t>
            </w:r>
            <w:r>
              <w:rPr>
                <w:color w:val="000000"/>
              </w:rPr>
              <w:t xml:space="preserve">Qкот.отоп., то в котельном зале Qкот.отоп.принимаем </w:t>
            </w:r>
            <w:r>
              <w:rPr>
                <w:color w:val="FF0000"/>
              </w:rPr>
              <w:t>0</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 </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(6) "п.57"</w:t>
            </w:r>
          </w:p>
        </w:tc>
      </w:tr>
      <w:tr>
        <w:tblPrEx>
          <w:tblLayout w:type="fixed"/>
          <w:tblCellMar>
            <w:top w:w="0" w:type="dxa"/>
            <w:left w:w="108" w:type="dxa"/>
            <w:bottom w:w="0" w:type="dxa"/>
            <w:right w:w="108" w:type="dxa"/>
          </w:tblCellMar>
        </w:tblPrEx>
        <w:trPr>
          <w:trHeight w:val="37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кот.прод</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Расход тепловой энергии на продувку котлов</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1,557</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Qвыр*Кпрод                (6) "п.52ф.98"</w:t>
            </w:r>
          </w:p>
        </w:tc>
      </w:tr>
      <w:tr>
        <w:tblPrEx>
          <w:tblLayout w:type="fixed"/>
          <w:tblCellMar>
            <w:top w:w="0" w:type="dxa"/>
            <w:left w:w="108" w:type="dxa"/>
            <w:bottom w:w="0" w:type="dxa"/>
            <w:right w:w="108" w:type="dxa"/>
          </w:tblCellMar>
        </w:tblPrEx>
        <w:trPr>
          <w:trHeight w:val="57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кот.раст</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Расход тепловой энергии на растопку котлов</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7,158</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Qчас *( Краст.г  * Nраст.г+ Краст.х*Nраст.х)  (6) "п.53ф.99"</w:t>
            </w:r>
          </w:p>
        </w:tc>
      </w:tr>
      <w:tr>
        <w:tblPrEx>
          <w:tblLayout w:type="fixed"/>
          <w:tblCellMar>
            <w:top w:w="0" w:type="dxa"/>
            <w:left w:w="108" w:type="dxa"/>
            <w:bottom w:w="0" w:type="dxa"/>
            <w:right w:w="108" w:type="dxa"/>
          </w:tblCellMar>
        </w:tblPrEx>
        <w:trPr>
          <w:trHeight w:val="51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кот.агрег.</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Потери тепловой энергии котлоагрегатами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34,600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Qвыр *Qр.н.у.*bинд.*qагрег/100* 0,000001      (6) "п.57.1таб.10"</w:t>
            </w:r>
          </w:p>
        </w:tc>
      </w:tr>
      <w:tr>
        <w:tblPrEx>
          <w:tblLayout w:type="fixed"/>
          <w:tblCellMar>
            <w:top w:w="0" w:type="dxa"/>
            <w:left w:w="108" w:type="dxa"/>
            <w:bottom w:w="0" w:type="dxa"/>
            <w:right w:w="108" w:type="dxa"/>
          </w:tblCellMar>
        </w:tblPrEx>
        <w:trPr>
          <w:trHeight w:val="90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кот.друг.</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 Другие потери тепловой энергии  (опробование предохранительных клапанов, потери с утечками, парением, через теплоизоляцию трубопроводов)</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B050"/>
              </w:rPr>
            </w:pPr>
            <w:r>
              <w:rPr>
                <w:color w:val="00B050"/>
              </w:rPr>
              <w:t>0,519</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0,001*Qвыр                     (6) "п.59"</w:t>
            </w:r>
          </w:p>
        </w:tc>
      </w:tr>
      <w:tr>
        <w:tblPrEx>
          <w:tblLayout w:type="fixed"/>
          <w:tblCellMar>
            <w:top w:w="0" w:type="dxa"/>
            <w:left w:w="108" w:type="dxa"/>
            <w:bottom w:w="0" w:type="dxa"/>
            <w:right w:w="108" w:type="dxa"/>
          </w:tblCellMar>
        </w:tblPrEx>
        <w:trPr>
          <w:trHeight w:val="67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агрег</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Средняя потеря тепловой энергии всеми элементами котлоагрегата в окружающую среду</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B050"/>
              </w:rPr>
            </w:pPr>
            <w:r>
              <w:rPr>
                <w:color w:val="00B050"/>
              </w:rPr>
              <w:t>6</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(6) "п.57.1ф.103.3"</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К</w:t>
            </w:r>
            <w:r>
              <w:rPr>
                <w:color w:val="000000"/>
                <w:sz w:val="16"/>
                <w:szCs w:val="16"/>
              </w:rPr>
              <w:t>прод</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Коэффициент продувки</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0,003</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(6) "п.52"</w:t>
            </w:r>
          </w:p>
        </w:tc>
      </w:tr>
      <w:tr>
        <w:tblPrEx>
          <w:tblLayout w:type="fixed"/>
          <w:tblCellMar>
            <w:top w:w="0" w:type="dxa"/>
            <w:left w:w="108" w:type="dxa"/>
            <w:bottom w:w="0" w:type="dxa"/>
            <w:right w:w="108" w:type="dxa"/>
          </w:tblCellMar>
        </w:tblPrEx>
        <w:trPr>
          <w:trHeight w:val="67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К</w:t>
            </w:r>
            <w:r>
              <w:rPr>
                <w:color w:val="000000"/>
                <w:sz w:val="16"/>
                <w:szCs w:val="16"/>
              </w:rPr>
              <w:t>раст.г</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Доля расхода тепловой энергии на одну растопку котла после простоя до 12 ч (из горячего состояния)</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0,3</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(6) "п.53"</w:t>
            </w:r>
          </w:p>
        </w:tc>
      </w:tr>
      <w:tr>
        <w:tblPrEx>
          <w:tblLayout w:type="fixed"/>
          <w:tblCellMar>
            <w:top w:w="0" w:type="dxa"/>
            <w:left w:w="108" w:type="dxa"/>
            <w:bottom w:w="0" w:type="dxa"/>
            <w:right w:w="108" w:type="dxa"/>
          </w:tblCellMar>
        </w:tblPrEx>
        <w:trPr>
          <w:trHeight w:val="67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К</w:t>
            </w:r>
            <w:r>
              <w:rPr>
                <w:color w:val="000000"/>
                <w:sz w:val="16"/>
                <w:szCs w:val="16"/>
              </w:rPr>
              <w:t>раст.х</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Доля расхода тепловой энергии на одну растопку котла после простоя свыше 12 ч (из холодного состояния)</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0,65</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(6) "п.53"</w:t>
            </w:r>
          </w:p>
        </w:tc>
      </w:tr>
      <w:tr>
        <w:tblPrEx>
          <w:tblLayout w:type="fixed"/>
          <w:tblCellMar>
            <w:top w:w="0" w:type="dxa"/>
            <w:left w:w="108" w:type="dxa"/>
            <w:bottom w:w="0" w:type="dxa"/>
            <w:right w:w="108" w:type="dxa"/>
          </w:tblCellMar>
        </w:tblPrEx>
        <w:trPr>
          <w:trHeight w:val="55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N</w:t>
            </w:r>
            <w:r>
              <w:rPr>
                <w:color w:val="000000"/>
                <w:sz w:val="16"/>
                <w:szCs w:val="16"/>
              </w:rPr>
              <w:t>раст.г</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Количество растопок из горячего состояния в расчетном периоде</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B050"/>
              </w:rPr>
            </w:pPr>
            <w:r>
              <w:rPr>
                <w:color w:val="00B050"/>
              </w:rPr>
              <w:t>72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раз</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Оперативный журнал</w:t>
            </w:r>
          </w:p>
        </w:tc>
      </w:tr>
      <w:tr>
        <w:tblPrEx>
          <w:tblLayout w:type="fixed"/>
          <w:tblCellMar>
            <w:top w:w="0" w:type="dxa"/>
            <w:left w:w="108" w:type="dxa"/>
            <w:bottom w:w="0" w:type="dxa"/>
            <w:right w:w="108" w:type="dxa"/>
          </w:tblCellMar>
        </w:tblPrEx>
        <w:trPr>
          <w:trHeight w:val="51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N</w:t>
            </w:r>
            <w:r>
              <w:rPr>
                <w:color w:val="000000"/>
                <w:sz w:val="16"/>
                <w:szCs w:val="16"/>
              </w:rPr>
              <w:t>раст.х</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Количество растопок из холодного состояния в расчетном периоде</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B050"/>
              </w:rPr>
            </w:pPr>
            <w:r>
              <w:rPr>
                <w:color w:val="00B050"/>
              </w:rPr>
              <w:t>18</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раз</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Оперативный журнал</w:t>
            </w:r>
          </w:p>
        </w:tc>
      </w:tr>
      <w:tr>
        <w:tblPrEx>
          <w:tblLayout w:type="fixed"/>
          <w:tblCellMar>
            <w:top w:w="0" w:type="dxa"/>
            <w:left w:w="108" w:type="dxa"/>
            <w:bottom w:w="0" w:type="dxa"/>
            <w:right w:w="108" w:type="dxa"/>
          </w:tblCellMar>
        </w:tblPrEx>
        <w:trPr>
          <w:trHeight w:val="67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зд</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Количество тепловой энергии   необходимой на покрытие теплового потребления всеми зданиями  за расчетный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484,737</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Qзд.1+Qзд.2.+Qзд.3. +Qзд.4.+Qзд.5.        (1) "14"</w:t>
            </w:r>
          </w:p>
        </w:tc>
      </w:tr>
      <w:tr>
        <w:tblPrEx>
          <w:tblLayout w:type="fixed"/>
          <w:tblCellMar>
            <w:top w:w="0" w:type="dxa"/>
            <w:left w:w="108" w:type="dxa"/>
            <w:bottom w:w="0" w:type="dxa"/>
            <w:right w:w="108" w:type="dxa"/>
          </w:tblCellMar>
        </w:tblPrEx>
        <w:trPr>
          <w:trHeight w:val="67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п.с.</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Количество тепловой энергии на покрытие тепловых потерь в тепловых сетях за расчетный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34,265</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Qп.с.1+Qп.с.2+Qп.с.3+Qп.с.4                (1)"п1.4.13"</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зд.1</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Общее количество тепловой энергии   отпущенное зданию 1 за расчетный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176,973</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Qзд.1.о.+Qзд.1.в.                   (1) "15"</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зд.2.</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Общее количество тепловой энергии   отпущенное зданию 2 за расчетный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299,545</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Qзд.2.о.+Qзд.2.в.                (1) "15"</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зд.5</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Общее количество тепловой энергии   отпущенное зданию 5 за расчетный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8,219</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Qзд.5.о.+Qзд.5.в.                   (1) "15"</w:t>
            </w:r>
          </w:p>
        </w:tc>
      </w:tr>
      <w:tr>
        <w:tblPrEx>
          <w:tblLayout w:type="fixed"/>
          <w:tblCellMar>
            <w:top w:w="0" w:type="dxa"/>
            <w:left w:w="108" w:type="dxa"/>
            <w:bottom w:w="0" w:type="dxa"/>
            <w:right w:w="108" w:type="dxa"/>
          </w:tblCellMar>
        </w:tblPrEx>
        <w:trPr>
          <w:trHeight w:val="76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pPr>
            <w:r>
              <w:rPr>
                <w:sz w:val="22"/>
                <w:szCs w:val="22"/>
              </w:rPr>
              <w:t>Q</w:t>
            </w:r>
            <w:r>
              <w:rPr>
                <w:sz w:val="16"/>
                <w:szCs w:val="16"/>
              </w:rPr>
              <w:t>п.с.1</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Количество тепловой энергии  на покрытие тепловых потерь в  тепловых сетях на участке 1 за расчетный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23,273</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qп.с.1* бета.п.1* Lп.1. *nо.* 24 * 0,000001  (3) "п.11.3.3.ф.14"  (1) "32;33"</w:t>
            </w:r>
          </w:p>
        </w:tc>
      </w:tr>
      <w:tr>
        <w:tblPrEx>
          <w:tblLayout w:type="fixed"/>
          <w:tblCellMar>
            <w:top w:w="0" w:type="dxa"/>
            <w:left w:w="108" w:type="dxa"/>
            <w:bottom w:w="0" w:type="dxa"/>
            <w:right w:w="108" w:type="dxa"/>
          </w:tblCellMar>
        </w:tblPrEx>
        <w:trPr>
          <w:trHeight w:val="76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pPr>
            <w:r>
              <w:rPr>
                <w:sz w:val="22"/>
                <w:szCs w:val="22"/>
              </w:rPr>
              <w:t>Q</w:t>
            </w:r>
            <w:r>
              <w:rPr>
                <w:sz w:val="16"/>
                <w:szCs w:val="16"/>
              </w:rPr>
              <w:t>п.с.2.</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Количество тепловой энергии  на покрытие тепловых потерь в  тепловых сетях на участке 2 за расчетный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1,862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qп.с.2 * бета.п.2.* Lн.2. *nо.* 24 * 0,000001   (3) "п.11.3.3.ф.14" (1) "32;33"</w:t>
            </w:r>
          </w:p>
        </w:tc>
      </w:tr>
      <w:tr>
        <w:tblPrEx>
          <w:tblLayout w:type="fixed"/>
          <w:tblCellMar>
            <w:top w:w="0" w:type="dxa"/>
            <w:left w:w="108" w:type="dxa"/>
            <w:bottom w:w="0" w:type="dxa"/>
            <w:right w:w="108" w:type="dxa"/>
          </w:tblCellMar>
        </w:tblPrEx>
        <w:trPr>
          <w:trHeight w:val="76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pPr>
            <w:r>
              <w:rPr>
                <w:sz w:val="22"/>
                <w:szCs w:val="22"/>
              </w:rPr>
              <w:t>Q</w:t>
            </w:r>
            <w:r>
              <w:rPr>
                <w:sz w:val="16"/>
                <w:szCs w:val="16"/>
              </w:rPr>
              <w:t>п.с.3</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Количество тепловой энергии  на покрытие тепловых потерь в  тепловых сетях на участке 3за расчетный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2,327</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qп.с.3* бета.п.3* Lп.3. *nо.* 24 * 0,000001   (3) "п.11.3.3.ф.14" (1) "32;33"</w:t>
            </w:r>
          </w:p>
        </w:tc>
      </w:tr>
      <w:tr>
        <w:tblPrEx>
          <w:tblLayout w:type="fixed"/>
          <w:tblCellMar>
            <w:top w:w="0" w:type="dxa"/>
            <w:left w:w="108" w:type="dxa"/>
            <w:bottom w:w="0" w:type="dxa"/>
            <w:right w:w="108" w:type="dxa"/>
          </w:tblCellMar>
        </w:tblPrEx>
        <w:trPr>
          <w:trHeight w:val="76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pPr>
            <w:r>
              <w:rPr>
                <w:sz w:val="22"/>
                <w:szCs w:val="22"/>
              </w:rPr>
              <w:t>Q</w:t>
            </w:r>
            <w:r>
              <w:rPr>
                <w:sz w:val="16"/>
                <w:szCs w:val="16"/>
              </w:rPr>
              <w:t>п.с.4</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Количество тепловой энергии  на покрытие тепловых потерь в  тепловых сетях на участке 4 за расчетный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2,327</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qп.с.4* бета.п.4* Lп.4. *nо.* 24 * 0,000001   (3) "п.11.3.3.ф.14" (1) "32;33"</w:t>
            </w:r>
          </w:p>
        </w:tc>
      </w:tr>
      <w:tr>
        <w:tblPrEx>
          <w:tblLayout w:type="fixed"/>
          <w:tblCellMar>
            <w:top w:w="0" w:type="dxa"/>
            <w:left w:w="108" w:type="dxa"/>
            <w:bottom w:w="0" w:type="dxa"/>
            <w:right w:w="108" w:type="dxa"/>
          </w:tblCellMar>
        </w:tblPrEx>
        <w:trPr>
          <w:trHeight w:val="76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pPr>
            <w:r>
              <w:rPr>
                <w:sz w:val="22"/>
                <w:szCs w:val="22"/>
              </w:rPr>
              <w:t>Q</w:t>
            </w:r>
            <w:r>
              <w:rPr>
                <w:sz w:val="16"/>
                <w:szCs w:val="16"/>
              </w:rPr>
              <w:t>п.с.5</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Количество тепловой энергии  на покрытие тепловых потерь в  тепловых сетях на участке 5 за расчетный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4,476</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qп.с.5* бета.п.5* Lп.5. *nо.* 24 * 0,000001  (3) "п.11.3.3.ф.14"  (1) "32;33"</w:t>
            </w:r>
          </w:p>
        </w:tc>
      </w:tr>
      <w:tr>
        <w:tblPrEx>
          <w:tblLayout w:type="fixed"/>
          <w:tblCellMar>
            <w:top w:w="0" w:type="dxa"/>
            <w:left w:w="108" w:type="dxa"/>
            <w:bottom w:w="0" w:type="dxa"/>
            <w:right w:w="108" w:type="dxa"/>
          </w:tblCellMar>
        </w:tblPrEx>
        <w:trPr>
          <w:trHeight w:val="76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зд.1.о.</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Количество тепловой энергии   отпущенное  зданию 1 на отопление за расчетный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176,973</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q1.о. * альфа*V1.* ( t1.-tо.г) * (1+Ки.р.1.)*24*nо.* 0,000001          (1) "16;3.2"</w:t>
            </w:r>
          </w:p>
        </w:tc>
      </w:tr>
      <w:tr>
        <w:tblPrEx>
          <w:tblLayout w:type="fixed"/>
          <w:tblCellMar>
            <w:top w:w="0" w:type="dxa"/>
            <w:left w:w="108" w:type="dxa"/>
            <w:bottom w:w="0" w:type="dxa"/>
            <w:right w:w="108" w:type="dxa"/>
          </w:tblCellMar>
        </w:tblPrEx>
        <w:trPr>
          <w:trHeight w:val="76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зд.2.о.</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Количество тепловой энергии   отпущенное зданию 2 на отопление за расчетный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246,648</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q2.о. * альфа*V2.* ( t2-tо.г) * (1+Ки.р.2.)*24*nо*0,000001                (1) "16;3.2"</w:t>
            </w:r>
          </w:p>
        </w:tc>
      </w:tr>
      <w:tr>
        <w:tblPrEx>
          <w:tblLayout w:type="fixed"/>
          <w:tblCellMar>
            <w:top w:w="0" w:type="dxa"/>
            <w:left w:w="108" w:type="dxa"/>
            <w:bottom w:w="0" w:type="dxa"/>
            <w:right w:w="108" w:type="dxa"/>
          </w:tblCellMar>
        </w:tblPrEx>
        <w:trPr>
          <w:trHeight w:val="76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зд.5.о.</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Количество тепловой энергии   отпущенное зданию5 на отопление за расчетный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8,219</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q5о. * альфа*V5.* ( t5-tо.г) * (1+Ки.р.5.)*24*nо*0,000001                (1) "16;3.2"</w:t>
            </w:r>
          </w:p>
        </w:tc>
      </w:tr>
      <w:tr>
        <w:tblPrEx>
          <w:tblLayout w:type="fixed"/>
          <w:tblCellMar>
            <w:top w:w="0" w:type="dxa"/>
            <w:left w:w="108" w:type="dxa"/>
            <w:bottom w:w="0" w:type="dxa"/>
            <w:right w:w="108" w:type="dxa"/>
          </w:tblCellMar>
        </w:tblPrEx>
        <w:trPr>
          <w:trHeight w:val="51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зд.1.в.</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Количество тепловой энергии   отпущенное  зданию 1 на вентиляцию за расчетный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0,000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q1.в. * альфа * V1.( t1.-tо.г) * nв.1.                             (1) "18; 3.2а"</w:t>
            </w:r>
          </w:p>
        </w:tc>
      </w:tr>
      <w:tr>
        <w:tblPrEx>
          <w:tblLayout w:type="fixed"/>
          <w:tblCellMar>
            <w:top w:w="0" w:type="dxa"/>
            <w:left w:w="108" w:type="dxa"/>
            <w:bottom w:w="0" w:type="dxa"/>
            <w:right w:w="108" w:type="dxa"/>
          </w:tblCellMar>
        </w:tblPrEx>
        <w:trPr>
          <w:trHeight w:val="51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зд.2.в.</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Количество тепловой энергии   отпущенное  зданию 2 на вентиляцию за расчетный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52,897</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q2.в. * альфа * V2.( t2.-tо.г) * nв.2.                             (1) "18; 3.2а"</w:t>
            </w:r>
          </w:p>
        </w:tc>
      </w:tr>
      <w:tr>
        <w:tblPrEx>
          <w:tblLayout w:type="fixed"/>
          <w:tblCellMar>
            <w:top w:w="0" w:type="dxa"/>
            <w:left w:w="108" w:type="dxa"/>
            <w:bottom w:w="0" w:type="dxa"/>
            <w:right w:w="108" w:type="dxa"/>
          </w:tblCellMar>
        </w:tblPrEx>
        <w:trPr>
          <w:trHeight w:val="51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pPr>
            <w:r>
              <w:rPr>
                <w:sz w:val="22"/>
                <w:szCs w:val="22"/>
              </w:rPr>
              <w:t>Q</w:t>
            </w:r>
            <w:r>
              <w:rPr>
                <w:sz w:val="16"/>
                <w:szCs w:val="16"/>
              </w:rPr>
              <w:t>зд.5.в.</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pPr>
            <w:r>
              <w:t xml:space="preserve">Количество тепловой энергии   отпущенное  зданию 5 на вентиляцию за расчетный период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0,000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Гкал</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q5.в. * альфа * V5.( t5.-tо.г) * nв.5.                             (1) "18; 3.2а"</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pPr>
            <w:r>
              <w:t>t</w:t>
            </w:r>
            <w:r>
              <w:rPr>
                <w:sz w:val="16"/>
                <w:szCs w:val="16"/>
              </w:rPr>
              <w:t>1</w:t>
            </w:r>
            <w:r>
              <w:t>.</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pPr>
            <w:r>
              <w:t>Усредненная температура внутреннего воздуха отапливаемых  помещений в здании 1</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20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(1)</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pPr>
            <w:r>
              <w:t>t</w:t>
            </w:r>
            <w:r>
              <w:rPr>
                <w:sz w:val="16"/>
                <w:szCs w:val="16"/>
              </w:rPr>
              <w:t>2</w:t>
            </w:r>
            <w:r>
              <w:t>.</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pPr>
            <w:r>
              <w:t>Усредненная температура внутреннего воздуха отапливаемых  помещений в здании 2</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20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(1)</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pPr>
            <w:r>
              <w:t>t</w:t>
            </w:r>
            <w:r>
              <w:rPr>
                <w:sz w:val="16"/>
                <w:szCs w:val="16"/>
              </w:rPr>
              <w:t>5</w:t>
            </w:r>
            <w:r>
              <w:t>.</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pPr>
            <w:r>
              <w:t>Усредненная температура внутреннего воздуха отапливаемых  помещений в здании 5</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10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(1)</w:t>
            </w:r>
          </w:p>
        </w:tc>
      </w:tr>
      <w:tr>
        <w:tblPrEx>
          <w:tblLayout w:type="fixed"/>
          <w:tblCellMar>
            <w:top w:w="0" w:type="dxa"/>
            <w:left w:w="108" w:type="dxa"/>
            <w:bottom w:w="0" w:type="dxa"/>
            <w:right w:w="108" w:type="dxa"/>
          </w:tblCellMar>
        </w:tblPrEx>
        <w:trPr>
          <w:trHeight w:val="67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pPr>
            <w:r>
              <w:t>t</w:t>
            </w:r>
            <w:r>
              <w:rPr>
                <w:sz w:val="16"/>
                <w:szCs w:val="16"/>
              </w:rPr>
              <w:t>кот.</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pPr>
            <w:r>
              <w:t>Усредненная температура внутреннего воздуха отапливаемых  помещений в котельной</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15</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(1)</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pPr>
            <w:r>
              <w:t>t</w:t>
            </w:r>
            <w:r>
              <w:rPr>
                <w:sz w:val="16"/>
                <w:szCs w:val="16"/>
              </w:rPr>
              <w:t>о.г</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pPr>
            <w:r>
              <w:t>Среднее  значение  температуры  наружного   воздуха   за отопительный период</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-1,9</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(2)</w:t>
            </w:r>
          </w:p>
        </w:tc>
      </w:tr>
      <w:tr>
        <w:tblPrEx>
          <w:tblLayout w:type="fixed"/>
          <w:tblCellMar>
            <w:top w:w="0" w:type="dxa"/>
            <w:left w:w="108" w:type="dxa"/>
            <w:bottom w:w="0" w:type="dxa"/>
            <w:right w:w="108" w:type="dxa"/>
          </w:tblCellMar>
        </w:tblPrEx>
        <w:trPr>
          <w:trHeight w:val="51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t</w:t>
            </w:r>
            <w:r>
              <w:rPr>
                <w:color w:val="000000"/>
                <w:sz w:val="16"/>
                <w:szCs w:val="16"/>
              </w:rPr>
              <w:t>о.</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Расчетная    температура    наружного     воздуха     для проектирования отопления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-25</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(1)"п.3.3.4" ;  (2)"таб. 1 обеспеченность 0,92"</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t</w:t>
            </w:r>
            <w:r>
              <w:rPr>
                <w:color w:val="000000"/>
                <w:sz w:val="16"/>
                <w:szCs w:val="16"/>
              </w:rPr>
              <w:t>ср.год.</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Средняя  температура    наружного     воздуха     в отопительном периоде</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-1,9</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(2)"таб.3"</w:t>
            </w:r>
          </w:p>
        </w:tc>
      </w:tr>
      <w:tr>
        <w:tblPrEx>
          <w:tblLayout w:type="fixed"/>
          <w:tblCellMar>
            <w:top w:w="0" w:type="dxa"/>
            <w:left w:w="108" w:type="dxa"/>
            <w:bottom w:w="0" w:type="dxa"/>
            <w:right w:w="108" w:type="dxa"/>
          </w:tblCellMar>
        </w:tblPrEx>
        <w:trPr>
          <w:trHeight w:val="9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альфа</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Поправочный коэффициент, учитывающий изменение удельной тепловой характеристики в зависимости от расчетной температуры наружного воздуха</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1,08</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(6) "п.57;  (1) "таб 2"</w:t>
            </w:r>
          </w:p>
        </w:tc>
      </w:tr>
      <w:tr>
        <w:tblPrEx>
          <w:tblLayout w:type="fixed"/>
          <w:tblCellMar>
            <w:top w:w="0" w:type="dxa"/>
            <w:left w:w="108" w:type="dxa"/>
            <w:bottom w:w="0" w:type="dxa"/>
            <w:right w:w="108" w:type="dxa"/>
          </w:tblCellMar>
        </w:tblPrEx>
        <w:trPr>
          <w:trHeight w:val="48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кот</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Удельная тепловая характеристика здания котельной</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0,100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ккал/м3*ч* 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(6) "п.56"</w:t>
            </w:r>
          </w:p>
        </w:tc>
      </w:tr>
      <w:tr>
        <w:tblPrEx>
          <w:tblLayout w:type="fixed"/>
          <w:tblCellMar>
            <w:top w:w="0" w:type="dxa"/>
            <w:left w:w="108" w:type="dxa"/>
            <w:bottom w:w="0" w:type="dxa"/>
            <w:right w:w="108" w:type="dxa"/>
          </w:tblCellMar>
        </w:tblPrEx>
        <w:trPr>
          <w:trHeight w:val="49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1.о.</w:t>
            </w:r>
            <w:r>
              <w:rPr>
                <w:color w:val="000000"/>
                <w:sz w:val="22"/>
                <w:szCs w:val="22"/>
              </w:rPr>
              <w:t xml:space="preserve"> </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Удельная тепловая характеристика здания 1</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0,400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ккал/м3*ч* 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xml:space="preserve"> (1) "таб 4.прил.3"</w:t>
            </w:r>
          </w:p>
        </w:tc>
      </w:tr>
      <w:tr>
        <w:tblPrEx>
          <w:tblLayout w:type="fixed"/>
          <w:tblCellMar>
            <w:top w:w="0" w:type="dxa"/>
            <w:left w:w="108" w:type="dxa"/>
            <w:bottom w:w="0" w:type="dxa"/>
            <w:right w:w="108" w:type="dxa"/>
          </w:tblCellMar>
        </w:tblPrEx>
        <w:trPr>
          <w:trHeight w:val="42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2.о.</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Удельная тепловая характеристика здания 2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0,400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ккал/м3*ч* 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xml:space="preserve"> (1) "таб 4.прил.3"</w:t>
            </w:r>
          </w:p>
        </w:tc>
      </w:tr>
      <w:tr>
        <w:tblPrEx>
          <w:tblLayout w:type="fixed"/>
          <w:tblCellMar>
            <w:top w:w="0" w:type="dxa"/>
            <w:left w:w="108" w:type="dxa"/>
            <w:bottom w:w="0" w:type="dxa"/>
            <w:right w:w="108" w:type="dxa"/>
          </w:tblCellMar>
        </w:tblPrEx>
        <w:trPr>
          <w:trHeight w:val="42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5.о.</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Удельная тепловая характеристика здания 3</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0,700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ккал/м3*ч* 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xml:space="preserve"> (1) "таб 4.прил.3"</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V</w:t>
            </w:r>
            <w:r>
              <w:rPr>
                <w:color w:val="000000"/>
                <w:sz w:val="16"/>
                <w:szCs w:val="16"/>
              </w:rPr>
              <w:t>кот.</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Объем отапливаемого помещения (кроме рабочей зоны) котельной</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м3</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 БТИ</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V</w:t>
            </w:r>
            <w:r>
              <w:rPr>
                <w:color w:val="000000"/>
                <w:sz w:val="16"/>
                <w:szCs w:val="16"/>
              </w:rPr>
              <w:t>1.</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Объем здания 1</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4055</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м3</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 БТИ</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V</w:t>
            </w:r>
            <w:r>
              <w:rPr>
                <w:color w:val="000000"/>
                <w:sz w:val="16"/>
                <w:szCs w:val="16"/>
              </w:rPr>
              <w:t>2.</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Объем здания 2</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5689</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м3</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 БТИ</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V</w:t>
            </w:r>
            <w:r>
              <w:rPr>
                <w:color w:val="000000"/>
                <w:sz w:val="16"/>
                <w:szCs w:val="16"/>
              </w:rPr>
              <w:t>5.</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Объем здания 5</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200</w:t>
            </w:r>
          </w:p>
        </w:tc>
        <w:tc>
          <w:tcPr>
            <w:tcW w:w="1375" w:type="dxa"/>
            <w:tcBorders>
              <w:top w:val="single" w:color="auto" w:sz="4" w:space="0"/>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м3</w:t>
            </w:r>
          </w:p>
        </w:tc>
        <w:tc>
          <w:tcPr>
            <w:tcW w:w="2635" w:type="dxa"/>
            <w:tcBorders>
              <w:top w:val="single" w:color="auto" w:sz="4" w:space="0"/>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xml:space="preserve">Технический паспорт </w:t>
            </w:r>
          </w:p>
          <w:p>
            <w:pPr>
              <w:suppressAutoHyphens w:val="0"/>
              <w:autoSpaceDN/>
              <w:jc w:val="center"/>
              <w:textAlignment w:val="auto"/>
              <w:rPr>
                <w:color w:val="000000"/>
              </w:rPr>
            </w:pPr>
          </w:p>
          <w:p>
            <w:pPr>
              <w:suppressAutoHyphens w:val="0"/>
              <w:autoSpaceDN/>
              <w:jc w:val="center"/>
              <w:textAlignment w:val="auto"/>
              <w:rPr>
                <w:color w:val="000000"/>
              </w:rPr>
            </w:pPr>
            <w:r>
              <w:rPr>
                <w:color w:val="000000"/>
              </w:rPr>
              <w:t>БТИ</w:t>
            </w:r>
          </w:p>
        </w:tc>
      </w:tr>
      <w:tr>
        <w:tblPrEx>
          <w:tblLayout w:type="fixed"/>
          <w:tblCellMar>
            <w:top w:w="0" w:type="dxa"/>
            <w:left w:w="108" w:type="dxa"/>
            <w:bottom w:w="0" w:type="dxa"/>
            <w:right w:w="108" w:type="dxa"/>
          </w:tblCellMar>
        </w:tblPrEx>
        <w:trPr>
          <w:trHeight w:val="1173" w:hRule="atLeast"/>
        </w:trPr>
        <w:tc>
          <w:tcPr>
            <w:tcW w:w="1062" w:type="dxa"/>
            <w:tcBorders>
              <w:top w:val="single" w:color="auto" w:sz="4" w:space="0"/>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К</w:t>
            </w:r>
            <w:r>
              <w:rPr>
                <w:color w:val="000000"/>
                <w:sz w:val="16"/>
                <w:szCs w:val="16"/>
              </w:rPr>
              <w:t>и.р.2.</w:t>
            </w:r>
          </w:p>
        </w:tc>
        <w:tc>
          <w:tcPr>
            <w:tcW w:w="3529" w:type="dxa"/>
            <w:tcBorders>
              <w:top w:val="single" w:color="auto" w:sz="4" w:space="0"/>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Расчетный   коэффициент   инфильтрации для здания 2</w:t>
            </w:r>
          </w:p>
        </w:tc>
        <w:tc>
          <w:tcPr>
            <w:tcW w:w="1180" w:type="dxa"/>
            <w:tcBorders>
              <w:top w:val="single" w:color="auto" w:sz="4" w:space="0"/>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0,04913</w:t>
            </w:r>
          </w:p>
        </w:tc>
        <w:tc>
          <w:tcPr>
            <w:tcW w:w="1375" w:type="dxa"/>
            <w:tcBorders>
              <w:top w:val="single" w:color="auto" w:sz="4" w:space="0"/>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w:t>
            </w:r>
          </w:p>
        </w:tc>
        <w:tc>
          <w:tcPr>
            <w:tcW w:w="2635" w:type="dxa"/>
            <w:tcBorders>
              <w:top w:val="single" w:color="auto" w:sz="4" w:space="0"/>
              <w:left w:val="nil"/>
              <w:bottom w:val="single" w:color="auto" w:sz="4" w:space="0"/>
              <w:right w:val="single" w:color="auto" w:sz="4" w:space="0"/>
            </w:tcBorders>
            <w:shd w:val="clear" w:color="auto" w:fill="auto"/>
            <w:vAlign w:val="bottom"/>
          </w:tcPr>
          <w:p>
            <w:pPr>
              <w:suppressAutoHyphens w:val="0"/>
              <w:autoSpaceDN/>
              <w:textAlignment w:val="auto"/>
              <w:rPr>
                <w:color w:val="000000"/>
              </w:rPr>
            </w:pPr>
            <w:r>
              <w:rPr>
                <w:color w:val="000000"/>
              </w:rPr>
              <w:drawing>
                <wp:anchor distT="0" distB="0" distL="114300" distR="114300" simplePos="0" relativeHeight="251659264" behindDoc="0" locked="0" layoutInCell="1" allowOverlap="1">
                  <wp:simplePos x="0" y="0"/>
                  <wp:positionH relativeFrom="column">
                    <wp:posOffset>-51435</wp:posOffset>
                  </wp:positionH>
                  <wp:positionV relativeFrom="paragraph">
                    <wp:posOffset>55245</wp:posOffset>
                  </wp:positionV>
                  <wp:extent cx="1543685" cy="396240"/>
                  <wp:effectExtent l="0" t="0" r="0" b="381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pic:cNvPicPr>
                            <a:picLocks noChangeAspect="1"/>
                          </pic:cNvPicPr>
                        </pic:nvPicPr>
                        <pic:blipFill>
                          <a:blip r:embed="rId6"/>
                          <a:stretch>
                            <a:fillRect/>
                          </a:stretch>
                        </pic:blipFill>
                        <pic:spPr>
                          <a:xfrm>
                            <a:off x="0" y="0"/>
                            <a:ext cx="1543685" cy="396240"/>
                          </a:xfrm>
                          <a:prstGeom prst="rect">
                            <a:avLst/>
                          </a:prstGeom>
                        </pic:spPr>
                      </pic:pic>
                    </a:graphicData>
                  </a:graphic>
                </wp:anchor>
              </w:drawing>
            </w:r>
          </w:p>
          <w:tbl>
            <w:tblPr>
              <w:tblStyle w:val="28"/>
              <w:tblW w:w="789" w:type="dxa"/>
              <w:tblCellSpacing w:w="0" w:type="dxa"/>
              <w:tblInd w:w="2447" w:type="dxa"/>
              <w:tblLayout w:type="fixed"/>
              <w:tblCellMar>
                <w:top w:w="0" w:type="dxa"/>
                <w:left w:w="0" w:type="dxa"/>
                <w:bottom w:w="0" w:type="dxa"/>
                <w:right w:w="0" w:type="dxa"/>
              </w:tblCellMar>
            </w:tblPr>
            <w:tblGrid>
              <w:gridCol w:w="789"/>
            </w:tblGrid>
            <w:tr>
              <w:tblPrEx>
                <w:tblLayout w:type="fixed"/>
              </w:tblPrEx>
              <w:trPr>
                <w:trHeight w:val="177" w:hRule="atLeast"/>
                <w:tblCellSpacing w:w="0" w:type="dxa"/>
              </w:trPr>
              <w:tc>
                <w:tcPr>
                  <w:tcW w:w="789"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b/>
                      <w:color w:val="000000"/>
                    </w:rPr>
                  </w:pPr>
                </w:p>
                <w:p>
                  <w:pPr>
                    <w:suppressAutoHyphens w:val="0"/>
                    <w:autoSpaceDN/>
                    <w:jc w:val="center"/>
                    <w:textAlignment w:val="auto"/>
                    <w:rPr>
                      <w:b/>
                      <w:color w:val="000000"/>
                    </w:rPr>
                  </w:pPr>
                  <w:r>
                    <w:rPr>
                      <w:b/>
                      <w:color w:val="000000"/>
                    </w:rPr>
                    <w:t xml:space="preserve"> (1) "3.3"</w:t>
                  </w:r>
                </w:p>
              </w:tc>
            </w:tr>
          </w:tbl>
          <w:p>
            <w:pPr>
              <w:suppressAutoHyphens w:val="0"/>
              <w:autoSpaceDN/>
              <w:textAlignment w:val="auto"/>
              <w:rPr>
                <w:color w:val="000000"/>
              </w:rPr>
            </w:pPr>
          </w:p>
        </w:tc>
      </w:tr>
      <w:tr>
        <w:tblPrEx>
          <w:tblLayout w:type="fixed"/>
          <w:tblCellMar>
            <w:top w:w="0" w:type="dxa"/>
            <w:left w:w="108" w:type="dxa"/>
            <w:bottom w:w="0" w:type="dxa"/>
            <w:right w:w="108" w:type="dxa"/>
          </w:tblCellMar>
        </w:tblPrEx>
        <w:trPr>
          <w:trHeight w:val="43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1.в.</w:t>
            </w:r>
            <w:r>
              <w:rPr>
                <w:color w:val="000000"/>
                <w:sz w:val="22"/>
                <w:szCs w:val="22"/>
              </w:rPr>
              <w:t xml:space="preserve"> </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Удельная тепловая характеристика здания1 для вентиляции</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0,08</w:t>
            </w:r>
          </w:p>
        </w:tc>
        <w:tc>
          <w:tcPr>
            <w:tcW w:w="1375" w:type="dxa"/>
            <w:tcBorders>
              <w:top w:val="single" w:color="auto" w:sz="4" w:space="0"/>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ккал/м3*ч* оС</w:t>
            </w:r>
          </w:p>
        </w:tc>
        <w:tc>
          <w:tcPr>
            <w:tcW w:w="2635" w:type="dxa"/>
            <w:tcBorders>
              <w:top w:val="single" w:color="auto" w:sz="4" w:space="0"/>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xml:space="preserve"> (1) "таб 4.прил.3"</w:t>
            </w:r>
          </w:p>
        </w:tc>
      </w:tr>
      <w:tr>
        <w:tblPrEx>
          <w:tblLayout w:type="fixed"/>
          <w:tblCellMar>
            <w:top w:w="0" w:type="dxa"/>
            <w:left w:w="108" w:type="dxa"/>
            <w:bottom w:w="0" w:type="dxa"/>
            <w:right w:w="108" w:type="dxa"/>
          </w:tblCellMar>
        </w:tblPrEx>
        <w:trPr>
          <w:trHeight w:val="43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2.в.</w:t>
            </w:r>
            <w:r>
              <w:rPr>
                <w:color w:val="000000"/>
                <w:sz w:val="22"/>
                <w:szCs w:val="22"/>
              </w:rPr>
              <w:t xml:space="preserve"> </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Удельная тепловая характеристика здания2 для вентиляции</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0,09</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ккал/м3*ч* 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xml:space="preserve"> (1) "таб 4.прил.3"</w:t>
            </w:r>
          </w:p>
        </w:tc>
      </w:tr>
      <w:tr>
        <w:tblPrEx>
          <w:tblLayout w:type="fixed"/>
          <w:tblCellMar>
            <w:top w:w="0" w:type="dxa"/>
            <w:left w:w="108" w:type="dxa"/>
            <w:bottom w:w="0" w:type="dxa"/>
            <w:right w:w="108" w:type="dxa"/>
          </w:tblCellMar>
        </w:tblPrEx>
        <w:trPr>
          <w:trHeight w:val="46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q</w:t>
            </w:r>
            <w:r>
              <w:rPr>
                <w:color w:val="000000"/>
                <w:sz w:val="16"/>
                <w:szCs w:val="16"/>
              </w:rPr>
              <w:t>5.в.</w:t>
            </w:r>
            <w:r>
              <w:rPr>
                <w:color w:val="000000"/>
                <w:sz w:val="22"/>
                <w:szCs w:val="22"/>
              </w:rPr>
              <w:t xml:space="preserve"> </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Удельная тепловая характеристика здания5 для вентиляции</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0,29</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ккал/м3*ч* 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xml:space="preserve"> (1) "таб 4.прил.3"</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g</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rPr>
                <w:color w:val="000000"/>
              </w:rPr>
            </w:pPr>
            <w:r>
              <w:rPr>
                <w:color w:val="000000"/>
              </w:rPr>
              <w:t>Ускорение свободного падения</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9,81</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 /с 2</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Постоянная величина</w:t>
            </w:r>
          </w:p>
        </w:tc>
      </w:tr>
      <w:tr>
        <w:tblPrEx>
          <w:tblLayout w:type="fixed"/>
          <w:tblCellMar>
            <w:top w:w="0" w:type="dxa"/>
            <w:left w:w="108" w:type="dxa"/>
            <w:bottom w:w="0" w:type="dxa"/>
            <w:right w:w="108" w:type="dxa"/>
          </w:tblCellMar>
        </w:tblPrEx>
        <w:trPr>
          <w:trHeight w:val="27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L</w:t>
            </w:r>
            <w:r>
              <w:rPr>
                <w:color w:val="000000"/>
                <w:sz w:val="16"/>
                <w:szCs w:val="16"/>
              </w:rPr>
              <w:t>кот.</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rPr>
                <w:color w:val="000000"/>
              </w:rPr>
            </w:pPr>
            <w:r>
              <w:rPr>
                <w:color w:val="000000"/>
              </w:rPr>
              <w:t>Свободная высота здания котельной</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5</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 БТИ</w:t>
            </w:r>
          </w:p>
        </w:tc>
      </w:tr>
      <w:tr>
        <w:tblPrEx>
          <w:tblLayout w:type="fixed"/>
          <w:tblCellMar>
            <w:top w:w="0" w:type="dxa"/>
            <w:left w:w="108" w:type="dxa"/>
            <w:bottom w:w="0" w:type="dxa"/>
            <w:right w:w="108" w:type="dxa"/>
          </w:tblCellMar>
        </w:tblPrEx>
        <w:trPr>
          <w:trHeight w:val="24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L</w:t>
            </w:r>
            <w:r>
              <w:rPr>
                <w:color w:val="000000"/>
                <w:sz w:val="16"/>
                <w:szCs w:val="16"/>
              </w:rPr>
              <w:t>1.</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rPr>
                <w:color w:val="000000"/>
              </w:rPr>
            </w:pPr>
            <w:r>
              <w:rPr>
                <w:color w:val="000000"/>
              </w:rPr>
              <w:t>Свободная высота здания 1</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 БТИ</w:t>
            </w:r>
          </w:p>
        </w:tc>
      </w:tr>
      <w:tr>
        <w:tblPrEx>
          <w:tblLayout w:type="fixed"/>
          <w:tblCellMar>
            <w:top w:w="0" w:type="dxa"/>
            <w:left w:w="108" w:type="dxa"/>
            <w:bottom w:w="0" w:type="dxa"/>
            <w:right w:w="108" w:type="dxa"/>
          </w:tblCellMar>
        </w:tblPrEx>
        <w:trPr>
          <w:trHeight w:val="25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L</w:t>
            </w:r>
            <w:r>
              <w:rPr>
                <w:color w:val="000000"/>
                <w:sz w:val="16"/>
                <w:szCs w:val="16"/>
              </w:rPr>
              <w:t>2.</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rPr>
                <w:color w:val="000000"/>
              </w:rPr>
            </w:pPr>
            <w:r>
              <w:rPr>
                <w:color w:val="000000"/>
              </w:rPr>
              <w:t>Свободная высота здания 2</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5</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 БТИ</w:t>
            </w:r>
          </w:p>
        </w:tc>
      </w:tr>
      <w:tr>
        <w:tblPrEx>
          <w:tblLayout w:type="fixed"/>
          <w:tblCellMar>
            <w:top w:w="0" w:type="dxa"/>
            <w:left w:w="108" w:type="dxa"/>
            <w:bottom w:w="0" w:type="dxa"/>
            <w:right w:w="108" w:type="dxa"/>
          </w:tblCellMar>
        </w:tblPrEx>
        <w:trPr>
          <w:trHeight w:val="27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L</w:t>
            </w:r>
            <w:r>
              <w:rPr>
                <w:color w:val="000000"/>
                <w:sz w:val="16"/>
                <w:szCs w:val="16"/>
              </w:rPr>
              <w:t>5.</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rPr>
                <w:color w:val="000000"/>
              </w:rPr>
            </w:pPr>
            <w:r>
              <w:rPr>
                <w:color w:val="000000"/>
              </w:rPr>
              <w:t>Свободная высота здания 5</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5</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 БТИ</w:t>
            </w:r>
          </w:p>
        </w:tc>
      </w:tr>
      <w:tr>
        <w:tblPrEx>
          <w:tblLayout w:type="fixed"/>
          <w:tblCellMar>
            <w:top w:w="0" w:type="dxa"/>
            <w:left w:w="108" w:type="dxa"/>
            <w:bottom w:w="0" w:type="dxa"/>
            <w:right w:w="108" w:type="dxa"/>
          </w:tblCellMar>
        </w:tblPrEx>
        <w:trPr>
          <w:trHeight w:val="43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W</w:t>
            </w:r>
            <w:r>
              <w:rPr>
                <w:color w:val="000000"/>
                <w:sz w:val="16"/>
                <w:szCs w:val="16"/>
              </w:rPr>
              <w:t>0</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Расчетная  для  данной   местности   скорость   ветра   в отопительный период</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4,1</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(2)"таб.1"</w:t>
            </w:r>
          </w:p>
        </w:tc>
      </w:tr>
      <w:tr>
        <w:tblPrEx>
          <w:tblLayout w:type="fixed"/>
          <w:tblCellMar>
            <w:top w:w="0" w:type="dxa"/>
            <w:left w:w="108" w:type="dxa"/>
            <w:bottom w:w="0" w:type="dxa"/>
            <w:right w:w="108" w:type="dxa"/>
          </w:tblCellMar>
        </w:tblPrEx>
        <w:trPr>
          <w:trHeight w:val="51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n</w:t>
            </w:r>
            <w:r>
              <w:rPr>
                <w:color w:val="000000"/>
                <w:sz w:val="16"/>
                <w:szCs w:val="16"/>
              </w:rPr>
              <w:t>о.</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rPr>
                <w:color w:val="000000"/>
              </w:rPr>
            </w:pPr>
            <w:r>
              <w:rPr>
                <w:color w:val="000000"/>
              </w:rPr>
              <w:t>Продолжительность  функционирования  систем  отопления   в отчетном периоде, сут.</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182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сут.</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w:t>
            </w:r>
          </w:p>
        </w:tc>
      </w:tr>
      <w:tr>
        <w:tblPrEx>
          <w:tblLayout w:type="fixed"/>
          <w:tblCellMar>
            <w:top w:w="0" w:type="dxa"/>
            <w:left w:w="108" w:type="dxa"/>
            <w:bottom w:w="0" w:type="dxa"/>
            <w:right w:w="108" w:type="dxa"/>
          </w:tblCellMar>
        </w:tblPrEx>
        <w:trPr>
          <w:trHeight w:val="46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n</w:t>
            </w:r>
            <w:r>
              <w:rPr>
                <w:color w:val="000000"/>
                <w:sz w:val="16"/>
                <w:szCs w:val="16"/>
              </w:rPr>
              <w:t xml:space="preserve">в.1 </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rPr>
                <w:color w:val="000000"/>
              </w:rPr>
            </w:pPr>
            <w:r>
              <w:rPr>
                <w:color w:val="000000"/>
              </w:rPr>
              <w:t>Продолжительность   функционирования   систем    приточной вентиляции в здании 1</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ч</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n</w:t>
            </w:r>
            <w:r>
              <w:rPr>
                <w:color w:val="000000"/>
                <w:sz w:val="16"/>
                <w:szCs w:val="16"/>
              </w:rPr>
              <w:t>в.2</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rPr>
                <w:color w:val="000000"/>
              </w:rPr>
            </w:pPr>
            <w:r>
              <w:rPr>
                <w:color w:val="000000"/>
              </w:rPr>
              <w:t>Продолжительность   функционирования   систем    приточной вентиляции в здании 2</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4368</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ч</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n</w:t>
            </w:r>
            <w:r>
              <w:rPr>
                <w:color w:val="000000"/>
                <w:sz w:val="16"/>
                <w:szCs w:val="16"/>
              </w:rPr>
              <w:t>в.5</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rPr>
                <w:color w:val="000000"/>
              </w:rPr>
            </w:pPr>
            <w:r>
              <w:rPr>
                <w:color w:val="000000"/>
              </w:rPr>
              <w:t>Продолжительность   функционирования   систем    приточной вентиляции в здании 5</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ч</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w:t>
            </w:r>
          </w:p>
        </w:tc>
      </w:tr>
      <w:tr>
        <w:tblPrEx>
          <w:tblLayout w:type="fixed"/>
          <w:tblCellMar>
            <w:top w:w="0" w:type="dxa"/>
            <w:left w:w="108" w:type="dxa"/>
            <w:bottom w:w="0" w:type="dxa"/>
            <w:right w:w="108" w:type="dxa"/>
          </w:tblCellMar>
        </w:tblPrEx>
        <w:trPr>
          <w:trHeight w:val="54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pPr>
            <w:r>
              <w:t>q</w:t>
            </w:r>
            <w:r>
              <w:rPr>
                <w:sz w:val="16"/>
                <w:szCs w:val="16"/>
              </w:rPr>
              <w:t>п.с.1</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pPr>
            <w:r>
              <w:t>Удельные  часовые  тепловые  потери трубопроводов  на участке 1</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22,2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ккал/м3*ч* 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(3) "прил.1.таб.1.2"</w:t>
            </w:r>
          </w:p>
        </w:tc>
      </w:tr>
      <w:tr>
        <w:tblPrEx>
          <w:tblLayout w:type="fixed"/>
          <w:tblCellMar>
            <w:top w:w="0" w:type="dxa"/>
            <w:left w:w="108" w:type="dxa"/>
            <w:bottom w:w="0" w:type="dxa"/>
            <w:right w:w="108" w:type="dxa"/>
          </w:tblCellMar>
        </w:tblPrEx>
        <w:trPr>
          <w:trHeight w:val="54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pPr>
            <w:r>
              <w:t>q</w:t>
            </w:r>
            <w:r>
              <w:rPr>
                <w:sz w:val="16"/>
                <w:szCs w:val="16"/>
              </w:rPr>
              <w:t>п.с.2.</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pPr>
            <w:r>
              <w:t>Удельные  часовые  тепловые  потери трубопроводов  на участке 2</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22,2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ккал/м3*ч* 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(3) "прил.1.таб.1.2"</w:t>
            </w:r>
          </w:p>
        </w:tc>
      </w:tr>
      <w:tr>
        <w:tblPrEx>
          <w:tblLayout w:type="fixed"/>
          <w:tblCellMar>
            <w:top w:w="0" w:type="dxa"/>
            <w:left w:w="108" w:type="dxa"/>
            <w:bottom w:w="0" w:type="dxa"/>
            <w:right w:w="108" w:type="dxa"/>
          </w:tblCellMar>
        </w:tblPrEx>
        <w:trPr>
          <w:trHeight w:val="49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pPr>
            <w:r>
              <w:t>q</w:t>
            </w:r>
            <w:r>
              <w:rPr>
                <w:sz w:val="16"/>
                <w:szCs w:val="16"/>
              </w:rPr>
              <w:t>п.с.3.</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pPr>
            <w:r>
              <w:t>Удельные  часовые  тепловые  потери трубопроводов  на участке 3</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22,2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ккал/м3*ч* 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(3) "прил.1.таб.1.2"</w:t>
            </w:r>
          </w:p>
        </w:tc>
      </w:tr>
      <w:tr>
        <w:tblPrEx>
          <w:tblLayout w:type="fixed"/>
          <w:tblCellMar>
            <w:top w:w="0" w:type="dxa"/>
            <w:left w:w="108" w:type="dxa"/>
            <w:bottom w:w="0" w:type="dxa"/>
            <w:right w:w="108" w:type="dxa"/>
          </w:tblCellMar>
        </w:tblPrEx>
        <w:trPr>
          <w:trHeight w:val="51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pPr>
            <w:r>
              <w:t>q</w:t>
            </w:r>
            <w:r>
              <w:rPr>
                <w:sz w:val="16"/>
                <w:szCs w:val="16"/>
              </w:rPr>
              <w:t>п.с.4.</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pPr>
            <w:r>
              <w:t>Удельные  часовые  тепловые  потери трубопроводов  на участке 4</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22,2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ккал/м3*ч* 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xml:space="preserve"> (3) "прил.1таб. 1.3"</w:t>
            </w:r>
          </w:p>
        </w:tc>
      </w:tr>
      <w:tr>
        <w:tblPrEx>
          <w:tblLayout w:type="fixed"/>
          <w:tblCellMar>
            <w:top w:w="0" w:type="dxa"/>
            <w:left w:w="108" w:type="dxa"/>
            <w:bottom w:w="0" w:type="dxa"/>
            <w:right w:w="108" w:type="dxa"/>
          </w:tblCellMar>
        </w:tblPrEx>
        <w:trPr>
          <w:trHeight w:val="49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pPr>
            <w:r>
              <w:t>q</w:t>
            </w:r>
            <w:r>
              <w:rPr>
                <w:sz w:val="16"/>
                <w:szCs w:val="16"/>
              </w:rPr>
              <w:t>п.с.5.</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pPr>
            <w:r>
              <w:t>Удельные  часовые  тепловые  потери трубопроводов  на участке 5</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pPr>
            <w:r>
              <w:t>12,2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ккал/м3*ч* 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(3) "прил.1.таб.1.2"</w:t>
            </w:r>
          </w:p>
        </w:tc>
      </w:tr>
      <w:tr>
        <w:tblPrEx>
          <w:tblLayout w:type="fixed"/>
          <w:tblCellMar>
            <w:top w:w="0" w:type="dxa"/>
            <w:left w:w="108" w:type="dxa"/>
            <w:bottom w:w="0" w:type="dxa"/>
            <w:right w:w="108" w:type="dxa"/>
          </w:tblCellMar>
        </w:tblPrEx>
        <w:trPr>
          <w:trHeight w:val="49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L</w:t>
            </w:r>
            <w:r>
              <w:rPr>
                <w:color w:val="000000"/>
                <w:sz w:val="16"/>
                <w:szCs w:val="16"/>
              </w:rPr>
              <w:t>п1</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Длина трубопроводов в однотрубном исчеслении участка 1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200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51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L</w:t>
            </w:r>
            <w:r>
              <w:rPr>
                <w:color w:val="000000"/>
                <w:sz w:val="16"/>
                <w:szCs w:val="16"/>
              </w:rPr>
              <w:t>п2</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Длина трубопроводов в однотрубном  исчеслении участка 2 </w:t>
            </w:r>
          </w:p>
        </w:tc>
        <w:tc>
          <w:tcPr>
            <w:tcW w:w="1180"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16</w:t>
            </w:r>
          </w:p>
        </w:tc>
        <w:tc>
          <w:tcPr>
            <w:tcW w:w="1375"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49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L</w:t>
            </w:r>
            <w:r>
              <w:rPr>
                <w:color w:val="000000"/>
                <w:sz w:val="16"/>
                <w:szCs w:val="16"/>
              </w:rPr>
              <w:t>п3</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 xml:space="preserve">Длина трубопроводов в однотрубном исчесленииучастка 3 </w:t>
            </w:r>
          </w:p>
        </w:tc>
        <w:tc>
          <w:tcPr>
            <w:tcW w:w="1180" w:type="dxa"/>
            <w:tcBorders>
              <w:top w:val="single" w:color="auto" w:sz="4" w:space="0"/>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20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43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L</w:t>
            </w:r>
            <w:r>
              <w:rPr>
                <w:color w:val="000000"/>
                <w:sz w:val="16"/>
                <w:szCs w:val="16"/>
              </w:rPr>
              <w:t>п4</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Длина трубопроводов в двухтрубном исчеслении участка 4</w:t>
            </w:r>
          </w:p>
        </w:tc>
        <w:tc>
          <w:tcPr>
            <w:tcW w:w="1180"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20</w:t>
            </w:r>
          </w:p>
        </w:tc>
        <w:tc>
          <w:tcPr>
            <w:tcW w:w="1375"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46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L</w:t>
            </w:r>
            <w:r>
              <w:rPr>
                <w:color w:val="000000"/>
                <w:sz w:val="16"/>
                <w:szCs w:val="16"/>
              </w:rPr>
              <w:t>п5</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Длина трубопроводов в однотрубном исчеслении участка 5</w:t>
            </w:r>
          </w:p>
        </w:tc>
        <w:tc>
          <w:tcPr>
            <w:tcW w:w="1180" w:type="dxa"/>
            <w:tcBorders>
              <w:top w:val="single" w:color="auto" w:sz="4" w:space="0"/>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70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d1</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Диаметр трубопровода на участке 1</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102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мм</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d2</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Диаметр трубопровода на участке 2</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102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мм</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d3</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Диаметр трубопровода на участке 3</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102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мм</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d4</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Диаметр трубопровода на участке 4</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102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мм</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d5</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Диаметр трубопровода на участке 5</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32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мм</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24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Г1</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Год проектирования участка 1</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2002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год</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Г2</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Год проектирования теплотрассы на участка 2</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2002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год</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33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Г3</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Год проектирования теплотрассы на участка 3</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2002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год</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Г4</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Год проектирования теплотрассы на участка 4</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2002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год</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37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Г5</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Год проектирования теплотрассы на участка 5</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2002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год</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Прок1</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Способ прокладки теплотрассы на участке 1</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Надзем</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Прок2</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Способ прокладки теплотрассы на участке 2</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Надзем</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Прок3</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Способ прокладки теплотрассы на участке 3</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Надзем</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31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Прок4</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Способ прокладки теплотрассы на участке 4</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Надзем</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33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Прок5</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textAlignment w:val="auto"/>
              <w:rPr>
                <w:color w:val="000000"/>
              </w:rPr>
            </w:pPr>
            <w:r>
              <w:rPr>
                <w:color w:val="000000"/>
              </w:rPr>
              <w:t>Способ прокладки теплотрассы на участке5</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Надзем</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Технический паспорт</w:t>
            </w:r>
          </w:p>
        </w:tc>
      </w:tr>
      <w:tr>
        <w:tblPrEx>
          <w:tblLayout w:type="fixed"/>
          <w:tblCellMar>
            <w:top w:w="0" w:type="dxa"/>
            <w:left w:w="108" w:type="dxa"/>
            <w:bottom w:w="0" w:type="dxa"/>
            <w:right w:w="108" w:type="dxa"/>
          </w:tblCellMar>
        </w:tblPrEx>
        <w:trPr>
          <w:trHeight w:val="69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бета</w:t>
            </w:r>
            <w:r>
              <w:rPr>
                <w:color w:val="000000"/>
                <w:sz w:val="16"/>
                <w:szCs w:val="16"/>
              </w:rPr>
              <w:t>.1.</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rPr>
                <w:color w:val="000000"/>
              </w:rPr>
            </w:pPr>
            <w:r>
              <w:rPr>
                <w:color w:val="000000"/>
              </w:rPr>
              <w:t>Коэффициент местных тепловых потерь, учитывающий потери запорной арматурой, компенсаторами, опорами на участке 1</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(3) "п.11.3.3."  (1) "п.4.3.6"</w:t>
            </w:r>
          </w:p>
        </w:tc>
      </w:tr>
      <w:tr>
        <w:tblPrEx>
          <w:tblLayout w:type="fixed"/>
          <w:tblCellMar>
            <w:top w:w="0" w:type="dxa"/>
            <w:left w:w="108" w:type="dxa"/>
            <w:bottom w:w="0" w:type="dxa"/>
            <w:right w:w="108" w:type="dxa"/>
          </w:tblCellMar>
        </w:tblPrEx>
        <w:trPr>
          <w:trHeight w:val="69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бета</w:t>
            </w:r>
            <w:r>
              <w:rPr>
                <w:color w:val="000000"/>
                <w:sz w:val="16"/>
                <w:szCs w:val="16"/>
              </w:rPr>
              <w:t>.2</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rPr>
                <w:color w:val="000000"/>
              </w:rPr>
            </w:pPr>
            <w:r>
              <w:rPr>
                <w:color w:val="000000"/>
              </w:rPr>
              <w:t>Коэффициент местных тепловых потерь, учитывающий потери запорной арматурой, компенсаторами, опорами на участке 2</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(3) "п.11.3.3."  (1) "п.4.3.6"</w:t>
            </w:r>
          </w:p>
        </w:tc>
      </w:tr>
      <w:tr>
        <w:tblPrEx>
          <w:tblLayout w:type="fixed"/>
          <w:tblCellMar>
            <w:top w:w="0" w:type="dxa"/>
            <w:left w:w="108" w:type="dxa"/>
            <w:bottom w:w="0" w:type="dxa"/>
            <w:right w:w="108" w:type="dxa"/>
          </w:tblCellMar>
        </w:tblPrEx>
        <w:trPr>
          <w:trHeight w:val="675"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бета</w:t>
            </w:r>
            <w:r>
              <w:rPr>
                <w:color w:val="000000"/>
                <w:sz w:val="16"/>
                <w:szCs w:val="16"/>
              </w:rPr>
              <w:t>.3</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rPr>
                <w:color w:val="000000"/>
              </w:rPr>
            </w:pPr>
            <w:r>
              <w:rPr>
                <w:color w:val="000000"/>
              </w:rPr>
              <w:t>Коэффициент местных тепловых потерь, учитывающий потери запорной арматурой, компенсаторами, опорами на участке 3</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(3) "п.11.3.3."  (1) "п.4.3.6"</w:t>
            </w:r>
          </w:p>
        </w:tc>
      </w:tr>
      <w:tr>
        <w:tblPrEx>
          <w:tblLayout w:type="fixed"/>
          <w:tblCellMar>
            <w:top w:w="0" w:type="dxa"/>
            <w:left w:w="108" w:type="dxa"/>
            <w:bottom w:w="0" w:type="dxa"/>
            <w:right w:w="108" w:type="dxa"/>
          </w:tblCellMar>
        </w:tblPrEx>
        <w:trPr>
          <w:trHeight w:val="69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бета</w:t>
            </w:r>
            <w:r>
              <w:rPr>
                <w:color w:val="000000"/>
                <w:sz w:val="16"/>
                <w:szCs w:val="16"/>
              </w:rPr>
              <w:t>.4</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rPr>
                <w:color w:val="000000"/>
              </w:rPr>
            </w:pPr>
            <w:r>
              <w:rPr>
                <w:color w:val="000000"/>
              </w:rPr>
              <w:t>Коэффициент местных тепловых потерь, учитывающий потери запорной арматурой, компенсаторами, опорами на участке 4</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(3) "п.11.3.3."  (1) "п.4.3.6"</w:t>
            </w:r>
          </w:p>
        </w:tc>
      </w:tr>
      <w:tr>
        <w:tblPrEx>
          <w:tblLayout w:type="fixed"/>
          <w:tblCellMar>
            <w:top w:w="0" w:type="dxa"/>
            <w:left w:w="108" w:type="dxa"/>
            <w:bottom w:w="0" w:type="dxa"/>
            <w:right w:w="108" w:type="dxa"/>
          </w:tblCellMar>
        </w:tblPrEx>
        <w:trPr>
          <w:trHeight w:val="69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бета</w:t>
            </w:r>
            <w:r>
              <w:rPr>
                <w:color w:val="000000"/>
                <w:sz w:val="16"/>
                <w:szCs w:val="16"/>
              </w:rPr>
              <w:t>.5</w:t>
            </w:r>
          </w:p>
        </w:tc>
        <w:tc>
          <w:tcPr>
            <w:tcW w:w="3529" w:type="dxa"/>
            <w:tcBorders>
              <w:top w:val="nil"/>
              <w:left w:val="nil"/>
              <w:bottom w:val="single" w:color="auto" w:sz="4" w:space="0"/>
              <w:right w:val="single" w:color="auto" w:sz="4" w:space="0"/>
            </w:tcBorders>
            <w:shd w:val="clear" w:color="auto" w:fill="auto"/>
            <w:vAlign w:val="bottom"/>
          </w:tcPr>
          <w:p>
            <w:pPr>
              <w:suppressAutoHyphens w:val="0"/>
              <w:autoSpaceDN/>
              <w:textAlignment w:val="auto"/>
              <w:rPr>
                <w:color w:val="000000"/>
              </w:rPr>
            </w:pPr>
            <w:r>
              <w:rPr>
                <w:color w:val="000000"/>
              </w:rPr>
              <w:t>Коэффициент местных тепловых потерь, учитывающий потери запорной арматурой, компенсаторами, опорами на участке 5</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1,2</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(3) "п.11.3.3."  (1) "п.4.3.6"</w:t>
            </w:r>
          </w:p>
        </w:tc>
      </w:tr>
      <w:tr>
        <w:tblPrEx>
          <w:tblLayout w:type="fixed"/>
          <w:tblCellMar>
            <w:top w:w="0" w:type="dxa"/>
            <w:left w:w="108" w:type="dxa"/>
            <w:bottom w:w="0" w:type="dxa"/>
            <w:right w:w="108" w:type="dxa"/>
          </w:tblCellMar>
        </w:tblPrEx>
        <w:trPr>
          <w:trHeight w:val="87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t</w:t>
            </w:r>
            <w:r>
              <w:rPr>
                <w:color w:val="000000"/>
                <w:sz w:val="16"/>
                <w:szCs w:val="16"/>
              </w:rPr>
              <w:t>под.</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Средняя температура теплоносителя за отопительный период подающего трубопровода при температуре наружного воздуха  tср.м.=-1,9 оС</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60</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Температурный график 95/70</w:t>
            </w:r>
          </w:p>
        </w:tc>
      </w:tr>
      <w:tr>
        <w:tblPrEx>
          <w:tblLayout w:type="fixed"/>
          <w:tblCellMar>
            <w:top w:w="0" w:type="dxa"/>
            <w:left w:w="108" w:type="dxa"/>
            <w:bottom w:w="0" w:type="dxa"/>
            <w:right w:w="108" w:type="dxa"/>
          </w:tblCellMar>
        </w:tblPrEx>
        <w:trPr>
          <w:trHeight w:val="90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t</w:t>
            </w:r>
            <w:r>
              <w:rPr>
                <w:color w:val="000000"/>
                <w:sz w:val="16"/>
                <w:szCs w:val="16"/>
              </w:rPr>
              <w:t>обр.</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Средняя температура теплоносителя за отопительный период обратного трубопровода при температуре наружного воздуха  tср.м.=-1,9 оС</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48</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Температурный график 95/70</w:t>
            </w:r>
          </w:p>
        </w:tc>
      </w:tr>
      <w:tr>
        <w:tblPrEx>
          <w:tblLayout w:type="fixed"/>
          <w:tblCellMar>
            <w:top w:w="0" w:type="dxa"/>
            <w:left w:w="108" w:type="dxa"/>
            <w:bottom w:w="0" w:type="dxa"/>
            <w:right w:w="108" w:type="dxa"/>
          </w:tblCellMar>
        </w:tblPrEx>
        <w:trPr>
          <w:trHeight w:val="450" w:hRule="atLeast"/>
        </w:trPr>
        <w:tc>
          <w:tcPr>
            <w:tcW w:w="1062" w:type="dxa"/>
            <w:tcBorders>
              <w:top w:val="nil"/>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sz w:val="22"/>
                <w:szCs w:val="22"/>
              </w:rPr>
              <w:t>t</w:t>
            </w:r>
            <w:r>
              <w:rPr>
                <w:color w:val="000000"/>
                <w:sz w:val="16"/>
                <w:szCs w:val="16"/>
              </w:rPr>
              <w:t>теп и в</w:t>
            </w:r>
          </w:p>
        </w:tc>
        <w:tc>
          <w:tcPr>
            <w:tcW w:w="3529"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 xml:space="preserve">Разность температуры теплоносителя и наружного воздуха </w:t>
            </w:r>
          </w:p>
        </w:tc>
        <w:tc>
          <w:tcPr>
            <w:tcW w:w="1180"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55,9</w:t>
            </w:r>
          </w:p>
        </w:tc>
        <w:tc>
          <w:tcPr>
            <w:tcW w:w="137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оС</w:t>
            </w:r>
          </w:p>
        </w:tc>
        <w:tc>
          <w:tcPr>
            <w:tcW w:w="2635" w:type="dxa"/>
            <w:tcBorders>
              <w:top w:val="nil"/>
              <w:left w:val="nil"/>
              <w:bottom w:val="single" w:color="auto" w:sz="4" w:space="0"/>
              <w:right w:val="single" w:color="auto" w:sz="4" w:space="0"/>
            </w:tcBorders>
            <w:shd w:val="clear" w:color="auto" w:fill="auto"/>
            <w:vAlign w:val="center"/>
          </w:tcPr>
          <w:p>
            <w:pPr>
              <w:suppressAutoHyphens w:val="0"/>
              <w:autoSpaceDN/>
              <w:jc w:val="center"/>
              <w:textAlignment w:val="auto"/>
              <w:rPr>
                <w:color w:val="000000"/>
              </w:rPr>
            </w:pPr>
            <w:r>
              <w:rPr>
                <w:color w:val="000000"/>
              </w:rPr>
              <w:t>(tобр.+tпод.)/2-tср.год.</w:t>
            </w:r>
          </w:p>
        </w:tc>
      </w:tr>
      <w:tr>
        <w:tblPrEx>
          <w:tblLayout w:type="fixed"/>
          <w:tblCellMar>
            <w:top w:w="0" w:type="dxa"/>
            <w:left w:w="108" w:type="dxa"/>
            <w:bottom w:w="0" w:type="dxa"/>
            <w:right w:w="108" w:type="dxa"/>
          </w:tblCellMar>
        </w:tblPrEx>
        <w:trPr>
          <w:trHeight w:val="315" w:hRule="atLeast"/>
        </w:trPr>
        <w:tc>
          <w:tcPr>
            <w:tcW w:w="4591" w:type="dxa"/>
            <w:gridSpan w:val="2"/>
            <w:tcBorders>
              <w:top w:val="nil"/>
              <w:left w:val="nil"/>
              <w:bottom w:val="nil"/>
              <w:right w:val="nil"/>
            </w:tcBorders>
            <w:shd w:val="clear" w:color="auto" w:fill="auto"/>
            <w:vAlign w:val="center"/>
          </w:tcPr>
          <w:p>
            <w:pPr>
              <w:suppressAutoHyphens w:val="0"/>
              <w:autoSpaceDN/>
              <w:textAlignment w:val="auto"/>
              <w:rPr>
                <w:b/>
                <w:bCs/>
                <w:color w:val="000000"/>
              </w:rPr>
            </w:pPr>
            <w:r>
              <w:rPr>
                <w:b/>
                <w:bCs/>
                <w:color w:val="000000"/>
              </w:rPr>
              <w:t>Примечание</w:t>
            </w:r>
          </w:p>
        </w:tc>
        <w:tc>
          <w:tcPr>
            <w:tcW w:w="1180" w:type="dxa"/>
            <w:tcBorders>
              <w:top w:val="nil"/>
              <w:left w:val="nil"/>
              <w:bottom w:val="nil"/>
              <w:right w:val="nil"/>
            </w:tcBorders>
            <w:shd w:val="clear" w:color="auto" w:fill="auto"/>
            <w:vAlign w:val="center"/>
          </w:tcPr>
          <w:p>
            <w:pPr>
              <w:suppressAutoHyphens w:val="0"/>
              <w:autoSpaceDN/>
              <w:jc w:val="center"/>
              <w:textAlignment w:val="auto"/>
              <w:rPr>
                <w:color w:val="000000"/>
              </w:rPr>
            </w:pPr>
          </w:p>
        </w:tc>
        <w:tc>
          <w:tcPr>
            <w:tcW w:w="1375" w:type="dxa"/>
            <w:tcBorders>
              <w:top w:val="nil"/>
              <w:left w:val="nil"/>
              <w:bottom w:val="nil"/>
              <w:right w:val="nil"/>
            </w:tcBorders>
            <w:shd w:val="clear" w:color="auto" w:fill="auto"/>
            <w:vAlign w:val="center"/>
          </w:tcPr>
          <w:p>
            <w:pPr>
              <w:suppressAutoHyphens w:val="0"/>
              <w:autoSpaceDN/>
              <w:jc w:val="center"/>
              <w:textAlignment w:val="auto"/>
              <w:rPr>
                <w:color w:val="000000"/>
                <w:sz w:val="20"/>
                <w:szCs w:val="20"/>
              </w:rPr>
            </w:pPr>
          </w:p>
        </w:tc>
        <w:tc>
          <w:tcPr>
            <w:tcW w:w="2635" w:type="dxa"/>
            <w:tcBorders>
              <w:top w:val="nil"/>
              <w:left w:val="nil"/>
              <w:bottom w:val="nil"/>
              <w:right w:val="nil"/>
            </w:tcBorders>
            <w:shd w:val="clear" w:color="auto" w:fill="auto"/>
            <w:vAlign w:val="center"/>
          </w:tcPr>
          <w:p>
            <w:pPr>
              <w:suppressAutoHyphens w:val="0"/>
              <w:autoSpaceDN/>
              <w:jc w:val="center"/>
              <w:textAlignment w:val="auto"/>
              <w:rPr>
                <w:color w:val="000000"/>
                <w:sz w:val="20"/>
                <w:szCs w:val="20"/>
              </w:rPr>
            </w:pPr>
          </w:p>
        </w:tc>
      </w:tr>
      <w:tr>
        <w:tblPrEx>
          <w:tblLayout w:type="fixed"/>
          <w:tblCellMar>
            <w:top w:w="0" w:type="dxa"/>
            <w:left w:w="108" w:type="dxa"/>
            <w:bottom w:w="0" w:type="dxa"/>
            <w:right w:w="108" w:type="dxa"/>
          </w:tblCellMar>
        </w:tblPrEx>
        <w:trPr>
          <w:trHeight w:val="315" w:hRule="atLeast"/>
        </w:trPr>
        <w:tc>
          <w:tcPr>
            <w:tcW w:w="4591" w:type="dxa"/>
            <w:gridSpan w:val="2"/>
            <w:tcBorders>
              <w:top w:val="nil"/>
              <w:left w:val="nil"/>
              <w:bottom w:val="nil"/>
              <w:right w:val="nil"/>
            </w:tcBorders>
            <w:shd w:val="clear" w:color="auto" w:fill="auto"/>
            <w:vAlign w:val="center"/>
          </w:tcPr>
          <w:p>
            <w:pPr>
              <w:suppressAutoHyphens w:val="0"/>
              <w:autoSpaceDN/>
              <w:textAlignment w:val="auto"/>
              <w:rPr>
                <w:bCs/>
                <w:i/>
                <w:color w:val="000000"/>
              </w:rPr>
            </w:pPr>
            <w:r>
              <w:rPr>
                <w:bCs/>
                <w:i/>
                <w:color w:val="000000"/>
              </w:rPr>
              <w:t xml:space="preserve">Здания </w:t>
            </w:r>
          </w:p>
        </w:tc>
        <w:tc>
          <w:tcPr>
            <w:tcW w:w="1180" w:type="dxa"/>
            <w:tcBorders>
              <w:top w:val="nil"/>
              <w:left w:val="nil"/>
              <w:bottom w:val="nil"/>
              <w:right w:val="nil"/>
            </w:tcBorders>
            <w:shd w:val="clear" w:color="auto" w:fill="auto"/>
            <w:vAlign w:val="center"/>
          </w:tcPr>
          <w:p>
            <w:pPr>
              <w:suppressAutoHyphens w:val="0"/>
              <w:autoSpaceDN/>
              <w:textAlignment w:val="auto"/>
              <w:rPr>
                <w:b/>
                <w:bCs/>
                <w:i/>
                <w:color w:val="000000"/>
              </w:rPr>
            </w:pPr>
          </w:p>
        </w:tc>
        <w:tc>
          <w:tcPr>
            <w:tcW w:w="1375" w:type="dxa"/>
            <w:tcBorders>
              <w:top w:val="nil"/>
              <w:left w:val="nil"/>
              <w:bottom w:val="nil"/>
              <w:right w:val="nil"/>
            </w:tcBorders>
            <w:shd w:val="clear" w:color="auto" w:fill="auto"/>
            <w:vAlign w:val="center"/>
          </w:tcPr>
          <w:p>
            <w:pPr>
              <w:suppressAutoHyphens w:val="0"/>
              <w:autoSpaceDN/>
              <w:textAlignment w:val="auto"/>
              <w:rPr>
                <w:b/>
                <w:bCs/>
                <w:i/>
                <w:color w:val="000000"/>
              </w:rPr>
            </w:pPr>
          </w:p>
        </w:tc>
        <w:tc>
          <w:tcPr>
            <w:tcW w:w="2635" w:type="dxa"/>
            <w:tcBorders>
              <w:top w:val="nil"/>
              <w:left w:val="nil"/>
              <w:bottom w:val="nil"/>
              <w:right w:val="nil"/>
            </w:tcBorders>
            <w:shd w:val="clear" w:color="auto" w:fill="auto"/>
            <w:vAlign w:val="center"/>
          </w:tcPr>
          <w:p>
            <w:pPr>
              <w:suppressAutoHyphens w:val="0"/>
              <w:autoSpaceDN/>
              <w:textAlignment w:val="auto"/>
              <w:rPr>
                <w:b/>
                <w:bCs/>
                <w:i/>
                <w:color w:val="000000"/>
              </w:rPr>
            </w:pPr>
          </w:p>
        </w:tc>
      </w:tr>
      <w:tr>
        <w:tblPrEx>
          <w:tblLayout w:type="fixed"/>
          <w:tblCellMar>
            <w:top w:w="0" w:type="dxa"/>
            <w:left w:w="108" w:type="dxa"/>
            <w:bottom w:w="0" w:type="dxa"/>
            <w:right w:w="108" w:type="dxa"/>
          </w:tblCellMar>
        </w:tblPrEx>
        <w:trPr>
          <w:trHeight w:val="255" w:hRule="atLeast"/>
        </w:trPr>
        <w:tc>
          <w:tcPr>
            <w:tcW w:w="1062"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Здание</w:t>
            </w:r>
          </w:p>
        </w:tc>
        <w:tc>
          <w:tcPr>
            <w:tcW w:w="3529"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1</w:t>
            </w:r>
          </w:p>
        </w:tc>
        <w:tc>
          <w:tcPr>
            <w:tcW w:w="2555" w:type="dxa"/>
            <w:gridSpan w:val="2"/>
            <w:tcBorders>
              <w:top w:val="nil"/>
              <w:left w:val="nil"/>
              <w:bottom w:val="nil"/>
              <w:right w:val="nil"/>
            </w:tcBorders>
            <w:shd w:val="clear" w:color="auto" w:fill="auto"/>
            <w:vAlign w:val="center"/>
          </w:tcPr>
          <w:p>
            <w:pPr>
              <w:suppressAutoHyphens w:val="0"/>
              <w:autoSpaceDN/>
              <w:textAlignment w:val="auto"/>
              <w:rPr>
                <w:color w:val="000000"/>
              </w:rPr>
            </w:pPr>
            <w:r>
              <w:rPr>
                <w:color w:val="000000"/>
              </w:rPr>
              <w:t>детский сад</w:t>
            </w:r>
          </w:p>
        </w:tc>
        <w:tc>
          <w:tcPr>
            <w:tcW w:w="2635" w:type="dxa"/>
            <w:tcBorders>
              <w:top w:val="nil"/>
              <w:left w:val="nil"/>
              <w:bottom w:val="nil"/>
              <w:right w:val="nil"/>
            </w:tcBorders>
            <w:shd w:val="clear" w:color="auto" w:fill="auto"/>
            <w:vAlign w:val="center"/>
          </w:tcPr>
          <w:p>
            <w:pPr>
              <w:suppressAutoHyphens w:val="0"/>
              <w:autoSpaceDN/>
              <w:jc w:val="center"/>
              <w:textAlignment w:val="auto"/>
              <w:rPr>
                <w:color w:val="000000"/>
              </w:rPr>
            </w:pPr>
          </w:p>
        </w:tc>
      </w:tr>
      <w:tr>
        <w:tblPrEx>
          <w:tblLayout w:type="fixed"/>
          <w:tblCellMar>
            <w:top w:w="0" w:type="dxa"/>
            <w:left w:w="108" w:type="dxa"/>
            <w:bottom w:w="0" w:type="dxa"/>
            <w:right w:w="108" w:type="dxa"/>
          </w:tblCellMar>
        </w:tblPrEx>
        <w:trPr>
          <w:trHeight w:val="255" w:hRule="atLeast"/>
        </w:trPr>
        <w:tc>
          <w:tcPr>
            <w:tcW w:w="1062"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Здание</w:t>
            </w:r>
          </w:p>
        </w:tc>
        <w:tc>
          <w:tcPr>
            <w:tcW w:w="3529"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2</w:t>
            </w:r>
          </w:p>
        </w:tc>
        <w:tc>
          <w:tcPr>
            <w:tcW w:w="1180" w:type="dxa"/>
            <w:tcBorders>
              <w:top w:val="nil"/>
              <w:left w:val="nil"/>
              <w:bottom w:val="nil"/>
              <w:right w:val="nil"/>
            </w:tcBorders>
            <w:shd w:val="clear" w:color="auto" w:fill="auto"/>
            <w:vAlign w:val="center"/>
          </w:tcPr>
          <w:p>
            <w:pPr>
              <w:suppressAutoHyphens w:val="0"/>
              <w:autoSpaceDN/>
              <w:textAlignment w:val="auto"/>
              <w:rPr>
                <w:color w:val="000000"/>
              </w:rPr>
            </w:pPr>
            <w:r>
              <w:rPr>
                <w:color w:val="000000"/>
              </w:rPr>
              <w:t>больница</w:t>
            </w:r>
          </w:p>
        </w:tc>
        <w:tc>
          <w:tcPr>
            <w:tcW w:w="1375" w:type="dxa"/>
            <w:tcBorders>
              <w:top w:val="nil"/>
              <w:left w:val="nil"/>
              <w:bottom w:val="nil"/>
              <w:right w:val="nil"/>
            </w:tcBorders>
            <w:shd w:val="clear" w:color="auto" w:fill="auto"/>
            <w:vAlign w:val="center"/>
          </w:tcPr>
          <w:p>
            <w:pPr>
              <w:suppressAutoHyphens w:val="0"/>
              <w:autoSpaceDN/>
              <w:jc w:val="center"/>
              <w:textAlignment w:val="auto"/>
              <w:rPr>
                <w:color w:val="000000"/>
              </w:rPr>
            </w:pPr>
          </w:p>
        </w:tc>
        <w:tc>
          <w:tcPr>
            <w:tcW w:w="2635" w:type="dxa"/>
            <w:tcBorders>
              <w:top w:val="nil"/>
              <w:left w:val="nil"/>
              <w:bottom w:val="nil"/>
              <w:right w:val="nil"/>
            </w:tcBorders>
            <w:shd w:val="clear" w:color="auto" w:fill="auto"/>
            <w:vAlign w:val="center"/>
          </w:tcPr>
          <w:p>
            <w:pPr>
              <w:suppressAutoHyphens w:val="0"/>
              <w:autoSpaceDN/>
              <w:jc w:val="center"/>
              <w:textAlignment w:val="auto"/>
              <w:rPr>
                <w:color w:val="000000"/>
              </w:rPr>
            </w:pPr>
          </w:p>
        </w:tc>
      </w:tr>
      <w:tr>
        <w:tblPrEx>
          <w:tblLayout w:type="fixed"/>
          <w:tblCellMar>
            <w:top w:w="0" w:type="dxa"/>
            <w:left w:w="108" w:type="dxa"/>
            <w:bottom w:w="0" w:type="dxa"/>
            <w:right w:w="108" w:type="dxa"/>
          </w:tblCellMar>
        </w:tblPrEx>
        <w:trPr>
          <w:trHeight w:val="270" w:hRule="atLeast"/>
        </w:trPr>
        <w:tc>
          <w:tcPr>
            <w:tcW w:w="1062"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Здание</w:t>
            </w:r>
          </w:p>
        </w:tc>
        <w:tc>
          <w:tcPr>
            <w:tcW w:w="3529"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5</w:t>
            </w:r>
          </w:p>
        </w:tc>
        <w:tc>
          <w:tcPr>
            <w:tcW w:w="5190" w:type="dxa"/>
            <w:gridSpan w:val="3"/>
            <w:tcBorders>
              <w:top w:val="nil"/>
              <w:left w:val="nil"/>
              <w:bottom w:val="nil"/>
              <w:right w:val="nil"/>
            </w:tcBorders>
            <w:shd w:val="clear" w:color="auto" w:fill="auto"/>
            <w:vAlign w:val="center"/>
          </w:tcPr>
          <w:p>
            <w:pPr>
              <w:suppressAutoHyphens w:val="0"/>
              <w:autoSpaceDN/>
              <w:textAlignment w:val="auto"/>
              <w:rPr>
                <w:color w:val="000000"/>
              </w:rPr>
            </w:pPr>
            <w:r>
              <w:rPr>
                <w:color w:val="000000"/>
              </w:rPr>
              <w:t>гараж</w:t>
            </w:r>
          </w:p>
        </w:tc>
      </w:tr>
      <w:tr>
        <w:tblPrEx>
          <w:tblLayout w:type="fixed"/>
          <w:tblCellMar>
            <w:top w:w="0" w:type="dxa"/>
            <w:left w:w="108" w:type="dxa"/>
            <w:bottom w:w="0" w:type="dxa"/>
            <w:right w:w="108" w:type="dxa"/>
          </w:tblCellMar>
        </w:tblPrEx>
        <w:trPr>
          <w:trHeight w:val="255" w:hRule="atLeast"/>
        </w:trPr>
        <w:tc>
          <w:tcPr>
            <w:tcW w:w="4591" w:type="dxa"/>
            <w:gridSpan w:val="2"/>
            <w:tcBorders>
              <w:top w:val="nil"/>
              <w:left w:val="nil"/>
              <w:bottom w:val="nil"/>
              <w:right w:val="nil"/>
            </w:tcBorders>
            <w:shd w:val="clear" w:color="auto" w:fill="auto"/>
            <w:vAlign w:val="center"/>
          </w:tcPr>
          <w:p>
            <w:pPr>
              <w:suppressAutoHyphens w:val="0"/>
              <w:autoSpaceDN/>
              <w:textAlignment w:val="auto"/>
              <w:rPr>
                <w:bCs/>
                <w:i/>
                <w:color w:val="000000"/>
              </w:rPr>
            </w:pPr>
            <w:r>
              <w:rPr>
                <w:bCs/>
                <w:i/>
                <w:color w:val="000000"/>
              </w:rPr>
              <w:t xml:space="preserve">Теплопроводы </w:t>
            </w:r>
          </w:p>
        </w:tc>
        <w:tc>
          <w:tcPr>
            <w:tcW w:w="1180" w:type="dxa"/>
            <w:tcBorders>
              <w:top w:val="nil"/>
              <w:left w:val="nil"/>
              <w:bottom w:val="nil"/>
              <w:right w:val="nil"/>
            </w:tcBorders>
            <w:shd w:val="clear" w:color="auto" w:fill="auto"/>
            <w:vAlign w:val="center"/>
          </w:tcPr>
          <w:p>
            <w:pPr>
              <w:suppressAutoHyphens w:val="0"/>
              <w:autoSpaceDN/>
              <w:textAlignment w:val="auto"/>
              <w:rPr>
                <w:b/>
                <w:bCs/>
                <w:i/>
                <w:color w:val="000000"/>
              </w:rPr>
            </w:pPr>
          </w:p>
        </w:tc>
        <w:tc>
          <w:tcPr>
            <w:tcW w:w="1375" w:type="dxa"/>
            <w:tcBorders>
              <w:top w:val="nil"/>
              <w:left w:val="nil"/>
              <w:bottom w:val="nil"/>
              <w:right w:val="nil"/>
            </w:tcBorders>
            <w:shd w:val="clear" w:color="auto" w:fill="auto"/>
            <w:vAlign w:val="center"/>
          </w:tcPr>
          <w:p>
            <w:pPr>
              <w:suppressAutoHyphens w:val="0"/>
              <w:autoSpaceDN/>
              <w:textAlignment w:val="auto"/>
              <w:rPr>
                <w:b/>
                <w:bCs/>
                <w:i/>
                <w:color w:val="000000"/>
              </w:rPr>
            </w:pPr>
          </w:p>
        </w:tc>
        <w:tc>
          <w:tcPr>
            <w:tcW w:w="2635" w:type="dxa"/>
            <w:tcBorders>
              <w:top w:val="nil"/>
              <w:left w:val="nil"/>
              <w:bottom w:val="nil"/>
              <w:right w:val="nil"/>
            </w:tcBorders>
            <w:shd w:val="clear" w:color="auto" w:fill="auto"/>
            <w:vAlign w:val="center"/>
          </w:tcPr>
          <w:p>
            <w:pPr>
              <w:suppressAutoHyphens w:val="0"/>
              <w:autoSpaceDN/>
              <w:textAlignment w:val="auto"/>
              <w:rPr>
                <w:b/>
                <w:bCs/>
                <w:i/>
                <w:color w:val="000000"/>
              </w:rPr>
            </w:pPr>
          </w:p>
        </w:tc>
      </w:tr>
      <w:tr>
        <w:tblPrEx>
          <w:tblLayout w:type="fixed"/>
          <w:tblCellMar>
            <w:top w:w="0" w:type="dxa"/>
            <w:left w:w="108" w:type="dxa"/>
            <w:bottom w:w="0" w:type="dxa"/>
            <w:right w:w="108" w:type="dxa"/>
          </w:tblCellMar>
        </w:tblPrEx>
        <w:trPr>
          <w:trHeight w:val="255" w:hRule="atLeast"/>
        </w:trPr>
        <w:tc>
          <w:tcPr>
            <w:tcW w:w="1062"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Участок</w:t>
            </w:r>
          </w:p>
        </w:tc>
        <w:tc>
          <w:tcPr>
            <w:tcW w:w="3529"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1</w:t>
            </w:r>
          </w:p>
        </w:tc>
        <w:tc>
          <w:tcPr>
            <w:tcW w:w="5190" w:type="dxa"/>
            <w:gridSpan w:val="3"/>
            <w:tcBorders>
              <w:top w:val="nil"/>
              <w:left w:val="nil"/>
              <w:bottom w:val="nil"/>
              <w:right w:val="nil"/>
            </w:tcBorders>
            <w:shd w:val="clear" w:color="auto" w:fill="auto"/>
            <w:vAlign w:val="center"/>
          </w:tcPr>
          <w:p>
            <w:pPr>
              <w:suppressAutoHyphens w:val="0"/>
              <w:autoSpaceDN/>
              <w:textAlignment w:val="auto"/>
              <w:rPr>
                <w:color w:val="000000"/>
              </w:rPr>
            </w:pPr>
            <w:r>
              <w:rPr>
                <w:color w:val="000000"/>
              </w:rPr>
              <w:t>от котельной до отвода на больницу</w:t>
            </w:r>
          </w:p>
        </w:tc>
      </w:tr>
      <w:tr>
        <w:tblPrEx>
          <w:tblLayout w:type="fixed"/>
          <w:tblCellMar>
            <w:top w:w="0" w:type="dxa"/>
            <w:left w:w="108" w:type="dxa"/>
            <w:bottom w:w="0" w:type="dxa"/>
            <w:right w:w="108" w:type="dxa"/>
          </w:tblCellMar>
        </w:tblPrEx>
        <w:trPr>
          <w:trHeight w:val="255" w:hRule="atLeast"/>
        </w:trPr>
        <w:tc>
          <w:tcPr>
            <w:tcW w:w="1062"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Участок</w:t>
            </w:r>
          </w:p>
        </w:tc>
        <w:tc>
          <w:tcPr>
            <w:tcW w:w="3529"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2</w:t>
            </w:r>
          </w:p>
        </w:tc>
        <w:tc>
          <w:tcPr>
            <w:tcW w:w="5190" w:type="dxa"/>
            <w:gridSpan w:val="3"/>
            <w:tcBorders>
              <w:top w:val="nil"/>
              <w:left w:val="nil"/>
              <w:bottom w:val="nil"/>
              <w:right w:val="nil"/>
            </w:tcBorders>
            <w:shd w:val="clear" w:color="auto" w:fill="auto"/>
            <w:vAlign w:val="center"/>
          </w:tcPr>
          <w:p>
            <w:pPr>
              <w:suppressAutoHyphens w:val="0"/>
              <w:autoSpaceDN/>
              <w:textAlignment w:val="auto"/>
              <w:rPr>
                <w:color w:val="000000"/>
              </w:rPr>
            </w:pPr>
            <w:r>
              <w:rPr>
                <w:color w:val="000000"/>
              </w:rPr>
              <w:t>от участка 1 до отвода на гараж</w:t>
            </w:r>
          </w:p>
        </w:tc>
      </w:tr>
      <w:tr>
        <w:tblPrEx>
          <w:tblLayout w:type="fixed"/>
          <w:tblCellMar>
            <w:top w:w="0" w:type="dxa"/>
            <w:left w:w="108" w:type="dxa"/>
            <w:bottom w:w="0" w:type="dxa"/>
            <w:right w:w="108" w:type="dxa"/>
          </w:tblCellMar>
        </w:tblPrEx>
        <w:trPr>
          <w:trHeight w:val="255" w:hRule="atLeast"/>
        </w:trPr>
        <w:tc>
          <w:tcPr>
            <w:tcW w:w="1062"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Участок</w:t>
            </w:r>
          </w:p>
        </w:tc>
        <w:tc>
          <w:tcPr>
            <w:tcW w:w="3529"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3</w:t>
            </w:r>
          </w:p>
        </w:tc>
        <w:tc>
          <w:tcPr>
            <w:tcW w:w="5190" w:type="dxa"/>
            <w:gridSpan w:val="3"/>
            <w:tcBorders>
              <w:top w:val="nil"/>
              <w:left w:val="nil"/>
              <w:bottom w:val="nil"/>
              <w:right w:val="nil"/>
            </w:tcBorders>
            <w:shd w:val="clear" w:color="auto" w:fill="auto"/>
            <w:vAlign w:val="center"/>
          </w:tcPr>
          <w:p>
            <w:pPr>
              <w:suppressAutoHyphens w:val="0"/>
              <w:autoSpaceDN/>
              <w:textAlignment w:val="auto"/>
              <w:rPr>
                <w:color w:val="000000"/>
              </w:rPr>
            </w:pPr>
            <w:r>
              <w:rPr>
                <w:color w:val="000000"/>
              </w:rPr>
              <w:t>от участка 2 до детского сада</w:t>
            </w:r>
          </w:p>
        </w:tc>
      </w:tr>
      <w:tr>
        <w:tblPrEx>
          <w:tblLayout w:type="fixed"/>
          <w:tblCellMar>
            <w:top w:w="0" w:type="dxa"/>
            <w:left w:w="108" w:type="dxa"/>
            <w:bottom w:w="0" w:type="dxa"/>
            <w:right w:w="108" w:type="dxa"/>
          </w:tblCellMar>
        </w:tblPrEx>
        <w:trPr>
          <w:trHeight w:val="255" w:hRule="atLeast"/>
        </w:trPr>
        <w:tc>
          <w:tcPr>
            <w:tcW w:w="1062"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Участок</w:t>
            </w:r>
          </w:p>
        </w:tc>
        <w:tc>
          <w:tcPr>
            <w:tcW w:w="3529"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4</w:t>
            </w:r>
          </w:p>
        </w:tc>
        <w:tc>
          <w:tcPr>
            <w:tcW w:w="5190" w:type="dxa"/>
            <w:gridSpan w:val="3"/>
            <w:tcBorders>
              <w:top w:val="nil"/>
              <w:left w:val="nil"/>
              <w:bottom w:val="nil"/>
              <w:right w:val="nil"/>
            </w:tcBorders>
            <w:shd w:val="clear" w:color="auto" w:fill="auto"/>
            <w:vAlign w:val="center"/>
          </w:tcPr>
          <w:p>
            <w:pPr>
              <w:suppressAutoHyphens w:val="0"/>
              <w:autoSpaceDN/>
              <w:textAlignment w:val="auto"/>
              <w:rPr>
                <w:color w:val="000000"/>
              </w:rPr>
            </w:pPr>
            <w:r>
              <w:rPr>
                <w:color w:val="000000"/>
              </w:rPr>
              <w:t>от участка 1 до больницы</w:t>
            </w:r>
          </w:p>
        </w:tc>
      </w:tr>
      <w:tr>
        <w:tblPrEx>
          <w:tblLayout w:type="fixed"/>
          <w:tblCellMar>
            <w:top w:w="0" w:type="dxa"/>
            <w:left w:w="108" w:type="dxa"/>
            <w:bottom w:w="0" w:type="dxa"/>
            <w:right w:w="108" w:type="dxa"/>
          </w:tblCellMar>
        </w:tblPrEx>
        <w:trPr>
          <w:trHeight w:val="270" w:hRule="atLeast"/>
        </w:trPr>
        <w:tc>
          <w:tcPr>
            <w:tcW w:w="1062"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Участок</w:t>
            </w:r>
          </w:p>
        </w:tc>
        <w:tc>
          <w:tcPr>
            <w:tcW w:w="3529"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5</w:t>
            </w:r>
          </w:p>
        </w:tc>
        <w:tc>
          <w:tcPr>
            <w:tcW w:w="5190" w:type="dxa"/>
            <w:gridSpan w:val="3"/>
            <w:tcBorders>
              <w:top w:val="nil"/>
              <w:left w:val="nil"/>
              <w:bottom w:val="nil"/>
              <w:right w:val="nil"/>
            </w:tcBorders>
            <w:shd w:val="clear" w:color="auto" w:fill="auto"/>
            <w:vAlign w:val="center"/>
          </w:tcPr>
          <w:p>
            <w:pPr>
              <w:suppressAutoHyphens w:val="0"/>
              <w:autoSpaceDN/>
              <w:textAlignment w:val="auto"/>
              <w:rPr>
                <w:color w:val="000000"/>
              </w:rPr>
            </w:pPr>
            <w:r>
              <w:rPr>
                <w:color w:val="000000"/>
              </w:rPr>
              <w:t>от участка 2 до гаража</w:t>
            </w:r>
          </w:p>
        </w:tc>
      </w:tr>
      <w:tr>
        <w:tblPrEx>
          <w:tblLayout w:type="fixed"/>
          <w:tblCellMar>
            <w:top w:w="0" w:type="dxa"/>
            <w:left w:w="108" w:type="dxa"/>
            <w:bottom w:w="0" w:type="dxa"/>
            <w:right w:w="108" w:type="dxa"/>
          </w:tblCellMar>
        </w:tblPrEx>
        <w:trPr>
          <w:trHeight w:val="152" w:hRule="atLeast"/>
        </w:trPr>
        <w:tc>
          <w:tcPr>
            <w:tcW w:w="9781" w:type="dxa"/>
            <w:gridSpan w:val="5"/>
            <w:tcBorders>
              <w:top w:val="nil"/>
              <w:left w:val="nil"/>
              <w:bottom w:val="nil"/>
              <w:right w:val="nil"/>
            </w:tcBorders>
            <w:shd w:val="clear" w:color="auto" w:fill="auto"/>
            <w:vAlign w:val="center"/>
          </w:tcPr>
          <w:p>
            <w:pPr>
              <w:pStyle w:val="87"/>
              <w:rPr>
                <w:i/>
                <w:sz w:val="24"/>
                <w:szCs w:val="24"/>
              </w:rPr>
            </w:pPr>
          </w:p>
          <w:p>
            <w:pPr>
              <w:pStyle w:val="87"/>
              <w:rPr>
                <w:i/>
                <w:sz w:val="24"/>
                <w:szCs w:val="24"/>
              </w:rPr>
            </w:pPr>
            <w:r>
              <w:rPr>
                <w:i/>
                <w:sz w:val="24"/>
                <w:szCs w:val="24"/>
              </w:rPr>
              <w:t xml:space="preserve">Перечень нормативно-технических документов, ссылки на которые имеются в расчете </w:t>
            </w:r>
          </w:p>
        </w:tc>
      </w:tr>
      <w:tr>
        <w:tblPrEx>
          <w:tblLayout w:type="fixed"/>
          <w:tblCellMar>
            <w:top w:w="0" w:type="dxa"/>
            <w:left w:w="108" w:type="dxa"/>
            <w:bottom w:w="0" w:type="dxa"/>
            <w:right w:w="108" w:type="dxa"/>
          </w:tblCellMar>
        </w:tblPrEx>
        <w:trPr>
          <w:trHeight w:val="510" w:hRule="atLeast"/>
        </w:trPr>
        <w:tc>
          <w:tcPr>
            <w:tcW w:w="1062"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1</w:t>
            </w:r>
          </w:p>
        </w:tc>
        <w:tc>
          <w:tcPr>
            <w:tcW w:w="8719" w:type="dxa"/>
            <w:gridSpan w:val="4"/>
            <w:tcBorders>
              <w:top w:val="nil"/>
              <w:left w:val="nil"/>
              <w:bottom w:val="nil"/>
              <w:right w:val="nil"/>
            </w:tcBorders>
            <w:shd w:val="clear" w:color="auto" w:fill="auto"/>
            <w:vAlign w:val="center"/>
          </w:tcPr>
          <w:p>
            <w:pPr>
              <w:suppressAutoHyphens w:val="0"/>
              <w:autoSpaceDN/>
              <w:textAlignment w:val="auto"/>
              <w:rPr>
                <w:color w:val="000000"/>
              </w:rPr>
            </w:pPr>
            <w:r>
              <w:rPr>
                <w:color w:val="000000"/>
              </w:rPr>
              <w:t>МДК 4-05.2004 "Методика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w:t>
            </w:r>
          </w:p>
        </w:tc>
      </w:tr>
      <w:tr>
        <w:tblPrEx>
          <w:tblLayout w:type="fixed"/>
          <w:tblCellMar>
            <w:top w:w="0" w:type="dxa"/>
            <w:left w:w="108" w:type="dxa"/>
            <w:bottom w:w="0" w:type="dxa"/>
            <w:right w:w="108" w:type="dxa"/>
          </w:tblCellMar>
        </w:tblPrEx>
        <w:trPr>
          <w:trHeight w:val="480" w:hRule="atLeast"/>
        </w:trPr>
        <w:tc>
          <w:tcPr>
            <w:tcW w:w="1062"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2</w:t>
            </w:r>
          </w:p>
        </w:tc>
        <w:tc>
          <w:tcPr>
            <w:tcW w:w="8719" w:type="dxa"/>
            <w:gridSpan w:val="4"/>
            <w:tcBorders>
              <w:top w:val="nil"/>
              <w:left w:val="nil"/>
              <w:bottom w:val="nil"/>
              <w:right w:val="nil"/>
            </w:tcBorders>
            <w:shd w:val="clear" w:color="auto" w:fill="auto"/>
            <w:vAlign w:val="center"/>
          </w:tcPr>
          <w:p>
            <w:pPr>
              <w:suppressAutoHyphens w:val="0"/>
              <w:autoSpaceDN/>
              <w:textAlignment w:val="auto"/>
              <w:rPr>
                <w:color w:val="000000"/>
              </w:rPr>
            </w:pPr>
            <w:r>
              <w:rPr>
                <w:color w:val="000000"/>
              </w:rPr>
              <w:t>СНиП 23-01-99  "Строительная климатология"</w:t>
            </w:r>
          </w:p>
        </w:tc>
      </w:tr>
      <w:tr>
        <w:tblPrEx>
          <w:tblLayout w:type="fixed"/>
          <w:tblCellMar>
            <w:top w:w="0" w:type="dxa"/>
            <w:left w:w="108" w:type="dxa"/>
            <w:bottom w:w="0" w:type="dxa"/>
            <w:right w:w="108" w:type="dxa"/>
          </w:tblCellMar>
        </w:tblPrEx>
        <w:trPr>
          <w:trHeight w:val="510" w:hRule="atLeast"/>
        </w:trPr>
        <w:tc>
          <w:tcPr>
            <w:tcW w:w="1062"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3</w:t>
            </w:r>
          </w:p>
        </w:tc>
        <w:tc>
          <w:tcPr>
            <w:tcW w:w="8719" w:type="dxa"/>
            <w:gridSpan w:val="4"/>
            <w:tcBorders>
              <w:top w:val="nil"/>
              <w:left w:val="nil"/>
              <w:bottom w:val="nil"/>
              <w:right w:val="nil"/>
            </w:tcBorders>
            <w:shd w:val="clear" w:color="auto" w:fill="auto"/>
            <w:vAlign w:val="center"/>
          </w:tcPr>
          <w:p>
            <w:pPr>
              <w:suppressAutoHyphens w:val="0"/>
              <w:autoSpaceDN/>
              <w:textAlignment w:val="auto"/>
              <w:rPr>
                <w:color w:val="000000"/>
              </w:rPr>
            </w:pPr>
            <w:r>
              <w:rPr>
                <w:color w:val="000000"/>
              </w:rPr>
              <w:t>Порядок определения нормативов технологических потерь при передаче тепловой энергии, теплоносителя, утв. Приказом Минэнерго России от 30.12.2008 N 325</w:t>
            </w:r>
          </w:p>
        </w:tc>
      </w:tr>
      <w:tr>
        <w:tblPrEx>
          <w:tblLayout w:type="fixed"/>
          <w:tblCellMar>
            <w:top w:w="0" w:type="dxa"/>
            <w:left w:w="108" w:type="dxa"/>
            <w:bottom w:w="0" w:type="dxa"/>
            <w:right w:w="108" w:type="dxa"/>
          </w:tblCellMar>
        </w:tblPrEx>
        <w:trPr>
          <w:trHeight w:val="555" w:hRule="atLeast"/>
        </w:trPr>
        <w:tc>
          <w:tcPr>
            <w:tcW w:w="1062"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4</w:t>
            </w:r>
          </w:p>
        </w:tc>
        <w:tc>
          <w:tcPr>
            <w:tcW w:w="8719" w:type="dxa"/>
            <w:gridSpan w:val="4"/>
            <w:tcBorders>
              <w:top w:val="nil"/>
              <w:left w:val="nil"/>
              <w:bottom w:val="nil"/>
              <w:right w:val="nil"/>
            </w:tcBorders>
            <w:shd w:val="clear" w:color="auto" w:fill="auto"/>
            <w:vAlign w:val="center"/>
          </w:tcPr>
          <w:p>
            <w:pPr>
              <w:suppressAutoHyphens w:val="0"/>
              <w:autoSpaceDN/>
              <w:textAlignment w:val="auto"/>
              <w:rPr>
                <w:color w:val="000000"/>
              </w:rPr>
            </w:pPr>
            <w:r>
              <w:rPr>
                <w:color w:val="000000"/>
              </w:rPr>
              <w:t>"Методические указания по определению тепловых потерь в водяных тепловых сетях. РД 34.09.255-97" (утв. РАО "ЕЭС России" 25.04.1997)</w:t>
            </w:r>
          </w:p>
        </w:tc>
      </w:tr>
      <w:tr>
        <w:tblPrEx>
          <w:tblLayout w:type="fixed"/>
          <w:tblCellMar>
            <w:top w:w="0" w:type="dxa"/>
            <w:left w:w="108" w:type="dxa"/>
            <w:bottom w:w="0" w:type="dxa"/>
            <w:right w:w="108" w:type="dxa"/>
          </w:tblCellMar>
        </w:tblPrEx>
        <w:trPr>
          <w:trHeight w:val="525" w:hRule="atLeast"/>
        </w:trPr>
        <w:tc>
          <w:tcPr>
            <w:tcW w:w="1062"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5</w:t>
            </w:r>
          </w:p>
        </w:tc>
        <w:tc>
          <w:tcPr>
            <w:tcW w:w="8719" w:type="dxa"/>
            <w:gridSpan w:val="4"/>
            <w:tcBorders>
              <w:top w:val="nil"/>
              <w:left w:val="nil"/>
              <w:bottom w:val="nil"/>
              <w:right w:val="nil"/>
            </w:tcBorders>
            <w:shd w:val="clear" w:color="auto" w:fill="auto"/>
            <w:vAlign w:val="center"/>
          </w:tcPr>
          <w:p>
            <w:pPr>
              <w:suppressAutoHyphens w:val="0"/>
              <w:autoSpaceDN/>
              <w:textAlignment w:val="auto"/>
              <w:rPr>
                <w:color w:val="000000"/>
              </w:rPr>
            </w:pPr>
            <w:r>
              <w:rPr>
                <w:color w:val="000000"/>
              </w:rPr>
              <w:t>МДС 41-4.2000 "Методика определения количеств тепловой энергии и теплоносителя в водяных системах коммунального теплоснабжения"</w:t>
            </w:r>
          </w:p>
        </w:tc>
      </w:tr>
      <w:tr>
        <w:tblPrEx>
          <w:tblLayout w:type="fixed"/>
          <w:tblCellMar>
            <w:top w:w="0" w:type="dxa"/>
            <w:left w:w="108" w:type="dxa"/>
            <w:bottom w:w="0" w:type="dxa"/>
            <w:right w:w="108" w:type="dxa"/>
          </w:tblCellMar>
        </w:tblPrEx>
        <w:trPr>
          <w:trHeight w:val="450" w:hRule="atLeast"/>
        </w:trPr>
        <w:tc>
          <w:tcPr>
            <w:tcW w:w="1062" w:type="dxa"/>
            <w:tcBorders>
              <w:top w:val="nil"/>
              <w:left w:val="nil"/>
              <w:bottom w:val="nil"/>
              <w:right w:val="nil"/>
            </w:tcBorders>
            <w:shd w:val="clear" w:color="auto" w:fill="auto"/>
            <w:vAlign w:val="center"/>
          </w:tcPr>
          <w:p>
            <w:pPr>
              <w:suppressAutoHyphens w:val="0"/>
              <w:autoSpaceDN/>
              <w:jc w:val="center"/>
              <w:textAlignment w:val="auto"/>
              <w:rPr>
                <w:color w:val="000000"/>
              </w:rPr>
            </w:pPr>
            <w:r>
              <w:rPr>
                <w:color w:val="000000"/>
              </w:rPr>
              <w:t>6</w:t>
            </w:r>
          </w:p>
        </w:tc>
        <w:tc>
          <w:tcPr>
            <w:tcW w:w="8719" w:type="dxa"/>
            <w:gridSpan w:val="4"/>
            <w:tcBorders>
              <w:top w:val="nil"/>
              <w:left w:val="nil"/>
              <w:bottom w:val="nil"/>
              <w:right w:val="nil"/>
            </w:tcBorders>
            <w:shd w:val="clear" w:color="auto" w:fill="auto"/>
            <w:vAlign w:val="center"/>
          </w:tcPr>
          <w:p>
            <w:pPr>
              <w:suppressAutoHyphens w:val="0"/>
              <w:autoSpaceDN/>
              <w:textAlignment w:val="auto"/>
              <w:rPr>
                <w:color w:val="000000"/>
              </w:rPr>
            </w:pPr>
            <w:r>
              <w:rPr>
                <w:color w:val="000000"/>
              </w:rPr>
              <w:t>Порядок определения нормативов удельного расхода топлива при производстве электрической и тепловой энергии, утв. Приказом Минэнерго России от 30.12.2008 N 325</w:t>
            </w:r>
          </w:p>
        </w:tc>
      </w:tr>
    </w:tbl>
    <w:p>
      <w:pPr/>
    </w:p>
    <w:p>
      <w:pPr>
        <w:tabs>
          <w:tab w:val="left" w:pos="3233"/>
        </w:tabs>
        <w:jc w:val="center"/>
        <w:rPr>
          <w:i/>
          <w:sz w:val="28"/>
          <w:szCs w:val="28"/>
        </w:rPr>
      </w:pPr>
    </w:p>
    <w:p>
      <w:pPr>
        <w:tabs>
          <w:tab w:val="left" w:pos="3233"/>
        </w:tabs>
        <w:jc w:val="center"/>
        <w:rPr>
          <w:i/>
          <w:sz w:val="28"/>
          <w:szCs w:val="28"/>
        </w:rPr>
      </w:pPr>
    </w:p>
    <w:p>
      <w:pPr>
        <w:tabs>
          <w:tab w:val="left" w:pos="3233"/>
        </w:tabs>
        <w:jc w:val="center"/>
        <w:rPr>
          <w:i/>
          <w:sz w:val="28"/>
          <w:szCs w:val="28"/>
        </w:rPr>
      </w:pPr>
    </w:p>
    <w:p>
      <w:pPr>
        <w:tabs>
          <w:tab w:val="left" w:pos="3233"/>
        </w:tabs>
        <w:jc w:val="center"/>
        <w:rPr>
          <w:i/>
          <w:sz w:val="28"/>
          <w:szCs w:val="28"/>
        </w:rPr>
      </w:pPr>
    </w:p>
    <w:p>
      <w:pPr>
        <w:tabs>
          <w:tab w:val="left" w:pos="3233"/>
        </w:tabs>
        <w:jc w:val="center"/>
        <w:rPr>
          <w:i/>
          <w:sz w:val="28"/>
          <w:szCs w:val="28"/>
        </w:rPr>
      </w:pPr>
    </w:p>
    <w:p>
      <w:pPr>
        <w:tabs>
          <w:tab w:val="left" w:pos="3233"/>
        </w:tabs>
        <w:jc w:val="center"/>
        <w:rPr>
          <w:i/>
          <w:sz w:val="28"/>
          <w:szCs w:val="28"/>
        </w:rPr>
      </w:pPr>
    </w:p>
    <w:p>
      <w:pPr>
        <w:tabs>
          <w:tab w:val="left" w:pos="3233"/>
        </w:tabs>
        <w:jc w:val="center"/>
        <w:rPr>
          <w:i/>
          <w:sz w:val="28"/>
          <w:szCs w:val="28"/>
        </w:rPr>
      </w:pPr>
    </w:p>
    <w:p>
      <w:pPr>
        <w:tabs>
          <w:tab w:val="left" w:pos="3233"/>
        </w:tabs>
        <w:jc w:val="center"/>
        <w:rPr>
          <w:i/>
          <w:sz w:val="28"/>
          <w:szCs w:val="28"/>
        </w:rPr>
      </w:pPr>
    </w:p>
    <w:p>
      <w:pPr>
        <w:tabs>
          <w:tab w:val="left" w:pos="3233"/>
        </w:tabs>
        <w:jc w:val="center"/>
        <w:rPr>
          <w:i/>
          <w:sz w:val="28"/>
          <w:szCs w:val="28"/>
        </w:rPr>
      </w:pPr>
      <w:r>
        <w:rPr>
          <w:i/>
          <w:sz w:val="28"/>
          <w:szCs w:val="28"/>
        </w:rPr>
        <w:t>СХЕМА</w:t>
      </w:r>
    </w:p>
    <w:p>
      <w:pPr>
        <w:tabs>
          <w:tab w:val="left" w:pos="3233"/>
        </w:tabs>
        <w:jc w:val="center"/>
        <w:rPr>
          <w:i/>
          <w:sz w:val="28"/>
          <w:szCs w:val="28"/>
        </w:rPr>
      </w:pPr>
      <w:r>
        <w:rPr>
          <w:i/>
          <w:sz w:val="28"/>
          <w:szCs w:val="28"/>
        </w:rPr>
        <w:t>расположения котельных в х.Тормосин</w:t>
      </w:r>
    </w:p>
    <w:p>
      <w:pPr>
        <w:framePr w:w="9720" w:h="10838" w:wrap="around" w:vAnchor="text" w:hAnchor="margin" w:x="2" w:y="1"/>
        <w:suppressAutoHyphens w:val="0"/>
        <w:autoSpaceDN/>
        <w:jc w:val="center"/>
        <w:textAlignment w:val="auto"/>
        <w:rPr>
          <w:rFonts w:ascii="Arial Unicode MS" w:hAnsi="Arial Unicode MS" w:eastAsia="Arial Unicode MS" w:cs="Arial Unicode MS"/>
          <w:color w:val="000000"/>
          <w:sz w:val="0"/>
          <w:szCs w:val="0"/>
          <w:lang w:val="en-US"/>
        </w:rPr>
      </w:pPr>
      <w:bookmarkStart w:id="0" w:name="_GoBack"/>
      <w:r>
        <w:rPr>
          <w:rFonts w:ascii="Arial Unicode MS" w:hAnsi="Arial Unicode MS" w:eastAsia="Arial Unicode MS" w:cs="Arial Unicode MS"/>
          <w:color w:val="000000"/>
        </w:rPr>
        <w:drawing>
          <wp:inline distT="0" distB="0" distL="0" distR="0">
            <wp:extent cx="5632450" cy="6277610"/>
            <wp:effectExtent l="0" t="0" r="6350" b="8890"/>
            <wp:docPr id="10" name="Рисунок 10" descr="F:\схема теплоснабжения\Тормосиновское сп\media\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descr="F:\схема теплоснабжения\Тормосиновское сп\media\image1.jpe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633177" cy="6278325"/>
                    </a:xfrm>
                    <a:prstGeom prst="rect">
                      <a:avLst/>
                    </a:prstGeom>
                    <a:noFill/>
                    <a:ln>
                      <a:noFill/>
                    </a:ln>
                  </pic:spPr>
                </pic:pic>
              </a:graphicData>
            </a:graphic>
          </wp:inline>
        </w:drawing>
      </w:r>
      <w:bookmarkEnd w:id="0"/>
    </w:p>
    <w:p>
      <w:pPr>
        <w:suppressAutoHyphens w:val="0"/>
        <w:autoSpaceDE w:val="0"/>
        <w:adjustRightInd w:val="0"/>
        <w:jc w:val="center"/>
        <w:textAlignment w:val="auto"/>
        <w:rPr>
          <w:b/>
          <w:bCs/>
          <w:i/>
          <w:iCs/>
        </w:rPr>
      </w:pPr>
    </w:p>
    <w:p>
      <w:pPr>
        <w:suppressAutoHyphens w:val="0"/>
        <w:autoSpaceDE w:val="0"/>
        <w:adjustRightInd w:val="0"/>
        <w:jc w:val="center"/>
        <w:textAlignment w:val="auto"/>
        <w:rPr>
          <w:b/>
          <w:bCs/>
          <w:i/>
          <w:iCs/>
        </w:rPr>
      </w:pPr>
    </w:p>
    <w:p>
      <w:pPr>
        <w:suppressAutoHyphens w:val="0"/>
        <w:autoSpaceDE w:val="0"/>
        <w:adjustRightInd w:val="0"/>
        <w:jc w:val="center"/>
        <w:textAlignment w:val="auto"/>
        <w:rPr>
          <w:b/>
          <w:bCs/>
          <w:i/>
          <w:iCs/>
        </w:rPr>
      </w:pPr>
    </w:p>
    <w:p>
      <w:pPr>
        <w:suppressAutoHyphens w:val="0"/>
        <w:autoSpaceDE w:val="0"/>
        <w:adjustRightInd w:val="0"/>
        <w:jc w:val="center"/>
        <w:textAlignment w:val="auto"/>
        <w:rPr>
          <w:b/>
          <w:bCs/>
          <w:i/>
          <w:iCs/>
        </w:rPr>
      </w:pPr>
    </w:p>
    <w:p>
      <w:pPr>
        <w:suppressAutoHyphens w:val="0"/>
        <w:autoSpaceDE w:val="0"/>
        <w:adjustRightInd w:val="0"/>
        <w:jc w:val="center"/>
        <w:textAlignment w:val="auto"/>
        <w:rPr>
          <w:b/>
          <w:bCs/>
          <w:i/>
          <w:iCs/>
        </w:rPr>
      </w:pPr>
    </w:p>
    <w:p>
      <w:pPr>
        <w:suppressAutoHyphens w:val="0"/>
        <w:autoSpaceDE w:val="0"/>
        <w:adjustRightInd w:val="0"/>
        <w:jc w:val="center"/>
        <w:textAlignment w:val="auto"/>
        <w:rPr>
          <w:b/>
          <w:bCs/>
          <w:i/>
          <w:iCs/>
        </w:rPr>
      </w:pPr>
    </w:p>
    <w:p>
      <w:pPr>
        <w:suppressAutoHyphens w:val="0"/>
        <w:autoSpaceDE w:val="0"/>
        <w:adjustRightInd w:val="0"/>
        <w:jc w:val="center"/>
        <w:textAlignment w:val="auto"/>
        <w:rPr>
          <w:b/>
          <w:bCs/>
          <w:i/>
          <w:iCs/>
        </w:rPr>
      </w:pPr>
    </w:p>
    <w:p>
      <w:pPr>
        <w:suppressAutoHyphens w:val="0"/>
        <w:autoSpaceDE w:val="0"/>
        <w:adjustRightInd w:val="0"/>
        <w:jc w:val="center"/>
        <w:textAlignment w:val="auto"/>
        <w:rPr>
          <w:b/>
          <w:bCs/>
          <w:i/>
          <w:iCs/>
        </w:rPr>
      </w:pPr>
    </w:p>
    <w:p>
      <w:pPr>
        <w:suppressAutoHyphens w:val="0"/>
        <w:autoSpaceDE w:val="0"/>
        <w:adjustRightInd w:val="0"/>
        <w:jc w:val="center"/>
        <w:textAlignment w:val="auto"/>
        <w:rPr>
          <w:b/>
          <w:bCs/>
          <w:i/>
          <w:iCs/>
        </w:rPr>
      </w:pPr>
    </w:p>
    <w:p>
      <w:pPr>
        <w:suppressAutoHyphens w:val="0"/>
        <w:autoSpaceDE w:val="0"/>
        <w:adjustRightInd w:val="0"/>
        <w:jc w:val="center"/>
        <w:textAlignment w:val="auto"/>
        <w:rPr>
          <w:b/>
          <w:bCs/>
          <w:i/>
          <w:iCs/>
        </w:rPr>
      </w:pPr>
    </w:p>
    <w:p>
      <w:pPr>
        <w:suppressAutoHyphens w:val="0"/>
        <w:autoSpaceDE w:val="0"/>
        <w:adjustRightInd w:val="0"/>
        <w:jc w:val="center"/>
        <w:textAlignment w:val="auto"/>
        <w:rPr>
          <w:b/>
          <w:bCs/>
          <w:i/>
          <w:iCs/>
        </w:rPr>
      </w:pPr>
    </w:p>
    <w:p>
      <w:pPr>
        <w:suppressAutoHyphens w:val="0"/>
        <w:autoSpaceDE w:val="0"/>
        <w:adjustRightInd w:val="0"/>
        <w:jc w:val="center"/>
        <w:textAlignment w:val="auto"/>
        <w:rPr>
          <w:b/>
          <w:bCs/>
          <w:i/>
          <w:iCs/>
        </w:rPr>
      </w:pPr>
    </w:p>
    <w:p>
      <w:pPr>
        <w:suppressAutoHyphens w:val="0"/>
        <w:autoSpaceDE w:val="0"/>
        <w:adjustRightInd w:val="0"/>
        <w:jc w:val="center"/>
        <w:textAlignment w:val="auto"/>
        <w:rPr>
          <w:bCs/>
          <w:i/>
          <w:iCs/>
          <w:sz w:val="28"/>
          <w:szCs w:val="28"/>
        </w:rPr>
      </w:pPr>
      <w:r>
        <w:rPr>
          <w:bCs/>
          <w:i/>
          <w:iCs/>
          <w:sz w:val="28"/>
          <w:szCs w:val="28"/>
        </w:rPr>
        <w:t>СХЕМА теплоснабжения х.Тормосин от котельной №2 х.Тормосин</w:t>
      </w:r>
    </w:p>
    <w:p>
      <w:pPr>
        <w:suppressAutoHyphens w:val="0"/>
        <w:autoSpaceDE w:val="0"/>
        <w:adjustRightInd w:val="0"/>
        <w:jc w:val="center"/>
        <w:textAlignment w:val="auto"/>
        <w:rPr>
          <w:b/>
          <w:bCs/>
          <w:i/>
          <w:iCs/>
          <w:sz w:val="28"/>
          <w:szCs w:val="28"/>
        </w:rPr>
      </w:pPr>
    </w:p>
    <w:p>
      <w:pPr>
        <w:suppressAutoHyphens w:val="0"/>
        <w:autoSpaceDE w:val="0"/>
        <w:adjustRightInd w:val="0"/>
        <w:jc w:val="center"/>
        <w:textAlignment w:val="auto"/>
        <w:rPr>
          <w:b/>
          <w:bCs/>
          <w:i/>
          <w:iCs/>
        </w:rPr>
      </w:pPr>
    </w:p>
    <w:p>
      <w:pPr>
        <w:suppressAutoHyphens w:val="0"/>
        <w:autoSpaceDE w:val="0"/>
        <w:adjustRightInd w:val="0"/>
        <w:jc w:val="center"/>
        <w:textAlignment w:val="auto"/>
        <w:rPr>
          <w:b/>
          <w:bCs/>
          <w:i/>
          <w:iCs/>
        </w:rPr>
      </w:pPr>
    </w:p>
    <w:p>
      <w:pPr>
        <w:suppressAutoHyphens w:val="0"/>
        <w:autoSpaceDE w:val="0"/>
        <w:adjustRightInd w:val="0"/>
        <w:jc w:val="center"/>
        <w:textAlignment w:val="auto"/>
        <w:rPr>
          <w:b/>
          <w:bCs/>
          <w:i/>
          <w:iCs/>
        </w:rPr>
      </w:pPr>
    </w:p>
    <w:p>
      <w:pPr>
        <w:shd w:val="clear" w:color="auto" w:fill="FFFFFF"/>
        <w:suppressAutoHyphens w:val="0"/>
        <w:autoSpaceDN/>
        <w:ind w:firstLine="142"/>
        <w:jc w:val="both"/>
        <w:textAlignment w:val="auto"/>
        <w:rPr>
          <w:b/>
          <w:color w:val="000000"/>
        </w:rPr>
      </w:pPr>
      <w:r>
        <mc:AlternateContent>
          <mc:Choice Requires="wps">
            <w:drawing>
              <wp:anchor distT="0" distB="0" distL="114300" distR="114300" simplePos="0" relativeHeight="251661312" behindDoc="0" locked="0" layoutInCell="1" allowOverlap="1">
                <wp:simplePos x="0" y="0"/>
                <wp:positionH relativeFrom="column">
                  <wp:posOffset>578485</wp:posOffset>
                </wp:positionH>
                <wp:positionV relativeFrom="paragraph">
                  <wp:posOffset>5584190</wp:posOffset>
                </wp:positionV>
                <wp:extent cx="1026795" cy="120650"/>
                <wp:effectExtent l="0" t="0" r="21590" b="12700"/>
                <wp:wrapNone/>
                <wp:docPr id="3" name="Прямоугольник 3"/>
                <wp:cNvGraphicFramePr/>
                <a:graphic xmlns:a="http://schemas.openxmlformats.org/drawingml/2006/main">
                  <a:graphicData uri="http://schemas.microsoft.com/office/word/2010/wordprocessingShape">
                    <wps:wsp>
                      <wps:cNvSpPr/>
                      <wps:spPr>
                        <a:xfrm>
                          <a:off x="0" y="0"/>
                          <a:ext cx="1026543" cy="12077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5.55pt;margin-top:439.7pt;height:9.5pt;width:80.85pt;z-index:251661312;v-text-anchor:middle;mso-width-relative:page;mso-height-relative:page;" fillcolor="#F3F3F3 [3201]" filled="t" stroked="t" coordsize="21600,21600" o:gfxdata="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D7HVQQ2gAAAAoBAAAPAAAAAAAAAAEAIAAAACIAAABkcnMvZG93bnJldi54bWxQSwECFAAU&#10;AAAACACHTuJAm4QGZGECAACjBAAADgAAAAAAAAABACAAAAApAQAAZHJzL2Uyb0RvYy54bWxQSwUG&#10;AAAAAAYABgBZAQAA/AUAAAAA&#10;">
                <v:fill on="t" focussize="0,0"/>
                <v:stroke weight="2pt" color="#F3F3F3 [3212]" joinstyle="round"/>
                <v:imagedata o:title=""/>
                <o:lock v:ext="edit" aspectratio="f"/>
              </v:rect>
            </w:pict>
          </mc:Fallback>
        </mc:AlternateContent>
      </w:r>
      <w:r>
        <mc:AlternateContent>
          <mc:Choice Requires="wps">
            <w:drawing>
              <wp:anchor distT="0" distB="0" distL="114300" distR="114300" simplePos="0" relativeHeight="251660288" behindDoc="0" locked="0" layoutInCell="1" allowOverlap="1">
                <wp:simplePos x="0" y="0"/>
                <wp:positionH relativeFrom="column">
                  <wp:posOffset>1518285</wp:posOffset>
                </wp:positionH>
                <wp:positionV relativeFrom="paragraph">
                  <wp:posOffset>5299075</wp:posOffset>
                </wp:positionV>
                <wp:extent cx="1595120" cy="353695"/>
                <wp:effectExtent l="0" t="0" r="24130" b="27940"/>
                <wp:wrapNone/>
                <wp:docPr id="1" name="Прямоугольник 1"/>
                <wp:cNvGraphicFramePr/>
                <a:graphic xmlns:a="http://schemas.openxmlformats.org/drawingml/2006/main">
                  <a:graphicData uri="http://schemas.microsoft.com/office/word/2010/wordprocessingShape">
                    <wps:wsp>
                      <wps:cNvSpPr/>
                      <wps:spPr>
                        <a:xfrm>
                          <a:off x="0" y="0"/>
                          <a:ext cx="1595432" cy="353551"/>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19.55pt;margin-top:417.25pt;height:27.85pt;width:125.6pt;z-index:251660288;v-text-anchor:middle;mso-width-relative:page;mso-height-relative:page;" fillcolor="#F3F3F3 [3201]" filled="t" stroked="t" coordsize="21600,21600" o:gfxdata="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A4/U+k2wAAAAsBAAAPAAAAAAAAAAEAIAAAACIAAABkcnMvZG93bnJldi54bWxQSwECFAAU&#10;AAAACACHTuJARUyjXWACAACjBAAADgAAAAAAAAABACAAAAAqAQAAZHJzL2Uyb0RvYy54bWxQSwUG&#10;AAAAAAYABgBZAQAA/AUAAAAA&#10;">
                <v:fill on="t" focussize="0,0"/>
                <v:stroke weight="2pt" color="#F3F3F3 [3212]" joinstyle="round"/>
                <v:imagedata o:title=""/>
                <o:lock v:ext="edit" aspectratio="f"/>
              </v:rect>
            </w:pict>
          </mc:Fallback>
        </mc:AlternateContent>
      </w:r>
      <w:r>
        <w:drawing>
          <wp:inline distT="0" distB="0" distL="0" distR="0">
            <wp:extent cx="6120765" cy="7273925"/>
            <wp:effectExtent l="0" t="0" r="0" b="317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pic:cNvPicPr>
                  </pic:nvPicPr>
                  <pic:blipFill>
                    <a:blip r:embed="rId8"/>
                    <a:stretch>
                      <a:fillRect/>
                    </a:stretch>
                  </pic:blipFill>
                  <pic:spPr>
                    <a:xfrm>
                      <a:off x="0" y="0"/>
                      <a:ext cx="6120765" cy="7273925"/>
                    </a:xfrm>
                    <a:prstGeom prst="rect">
                      <a:avLst/>
                    </a:prstGeom>
                  </pic:spPr>
                </pic:pic>
              </a:graphicData>
            </a:graphic>
          </wp:inline>
        </w:drawing>
      </w:r>
    </w:p>
    <w:p>
      <w:pPr>
        <w:shd w:val="clear" w:color="auto" w:fill="FFFFFF"/>
        <w:suppressAutoHyphens w:val="0"/>
        <w:autoSpaceDN/>
        <w:ind w:firstLine="567"/>
        <w:jc w:val="both"/>
        <w:textAlignment w:val="auto"/>
        <w:rPr>
          <w:b/>
          <w:color w:val="000000"/>
        </w:rPr>
      </w:pPr>
    </w:p>
    <w:p>
      <w:pPr>
        <w:shd w:val="clear" w:color="auto" w:fill="FFFFFF"/>
        <w:suppressAutoHyphens w:val="0"/>
        <w:autoSpaceDN/>
        <w:ind w:firstLine="567"/>
        <w:jc w:val="both"/>
        <w:textAlignment w:val="auto"/>
        <w:rPr>
          <w:b/>
          <w:color w:val="000000"/>
        </w:rPr>
      </w:pPr>
    </w:p>
    <w:p>
      <w:pPr>
        <w:shd w:val="clear" w:color="auto" w:fill="FFFFFF"/>
        <w:suppressAutoHyphens w:val="0"/>
        <w:autoSpaceDN/>
        <w:ind w:firstLine="567"/>
        <w:jc w:val="both"/>
        <w:textAlignment w:val="auto"/>
        <w:rPr>
          <w:b/>
          <w:color w:val="000000"/>
        </w:rPr>
      </w:pPr>
    </w:p>
    <w:p>
      <w:pPr>
        <w:shd w:val="clear" w:color="auto" w:fill="FFFFFF"/>
        <w:suppressAutoHyphens w:val="0"/>
        <w:autoSpaceDN/>
        <w:ind w:firstLine="567"/>
        <w:jc w:val="both"/>
        <w:textAlignment w:val="auto"/>
        <w:rPr>
          <w:b/>
          <w:color w:val="000000"/>
        </w:rPr>
      </w:pPr>
    </w:p>
    <w:p>
      <w:pPr>
        <w:shd w:val="clear" w:color="auto" w:fill="FFFFFF"/>
        <w:suppressAutoHyphens w:val="0"/>
        <w:autoSpaceDN/>
        <w:ind w:firstLine="567"/>
        <w:jc w:val="both"/>
        <w:textAlignment w:val="auto"/>
        <w:rPr>
          <w:color w:val="000000"/>
          <w:sz w:val="28"/>
          <w:szCs w:val="28"/>
        </w:rPr>
      </w:pPr>
      <w:r>
        <w:rPr>
          <w:color w:val="000000"/>
          <w:sz w:val="28"/>
          <w:szCs w:val="28"/>
        </w:rPr>
        <w:t>Тормосиновское сельское поселение  не  газифицировано. Поэтому большая часть индивидуальных жилых домов оборудовано отопительными печами, работающими на твердом топливе (дрова, уголь).</w:t>
      </w:r>
    </w:p>
    <w:p>
      <w:pPr>
        <w:shd w:val="clear" w:color="auto" w:fill="FFFFFF"/>
        <w:suppressAutoHyphens w:val="0"/>
        <w:autoSpaceDN/>
        <w:ind w:firstLine="567"/>
        <w:jc w:val="both"/>
        <w:textAlignment w:val="auto"/>
        <w:rPr>
          <w:b/>
          <w:color w:val="000000"/>
          <w:sz w:val="28"/>
          <w:szCs w:val="28"/>
        </w:rPr>
      </w:pPr>
    </w:p>
    <w:p>
      <w:pPr>
        <w:shd w:val="clear" w:color="auto" w:fill="FFFFFF"/>
        <w:suppressAutoHyphens w:val="0"/>
        <w:autoSpaceDN/>
        <w:ind w:firstLine="567"/>
        <w:jc w:val="both"/>
        <w:textAlignment w:val="auto"/>
        <w:rPr>
          <w:b/>
          <w:color w:val="000000"/>
          <w:sz w:val="28"/>
          <w:szCs w:val="28"/>
        </w:rPr>
      </w:pPr>
    </w:p>
    <w:p>
      <w:pPr>
        <w:shd w:val="clear" w:color="auto" w:fill="FFFFFF"/>
        <w:suppressAutoHyphens w:val="0"/>
        <w:autoSpaceDN/>
        <w:ind w:firstLine="567"/>
        <w:jc w:val="center"/>
        <w:textAlignment w:val="auto"/>
        <w:rPr>
          <w:b/>
          <w:color w:val="000000"/>
          <w:sz w:val="28"/>
          <w:szCs w:val="28"/>
        </w:rPr>
      </w:pPr>
      <w:r>
        <w:rPr>
          <w:b/>
          <w:color w:val="000000"/>
          <w:sz w:val="28"/>
          <w:szCs w:val="28"/>
        </w:rPr>
        <w:t xml:space="preserve">1.2.Площадь строительных фондов и приросты площади </w:t>
      </w:r>
    </w:p>
    <w:p>
      <w:pPr>
        <w:shd w:val="clear" w:color="auto" w:fill="FFFFFF"/>
        <w:suppressAutoHyphens w:val="0"/>
        <w:autoSpaceDN/>
        <w:ind w:firstLine="567"/>
        <w:jc w:val="center"/>
        <w:textAlignment w:val="auto"/>
        <w:rPr>
          <w:b/>
          <w:color w:val="000000"/>
          <w:sz w:val="28"/>
          <w:szCs w:val="28"/>
        </w:rPr>
      </w:pPr>
      <w:r>
        <w:rPr>
          <w:b/>
          <w:color w:val="000000"/>
          <w:sz w:val="28"/>
          <w:szCs w:val="28"/>
        </w:rPr>
        <w:t>строительных фондов</w:t>
      </w:r>
    </w:p>
    <w:p>
      <w:pPr>
        <w:shd w:val="clear" w:color="auto" w:fill="FFFFFF"/>
        <w:suppressAutoHyphens w:val="0"/>
        <w:autoSpaceDN/>
        <w:ind w:firstLine="567"/>
        <w:jc w:val="both"/>
        <w:textAlignment w:val="auto"/>
        <w:rPr>
          <w:b/>
          <w:color w:val="000000"/>
          <w:sz w:val="28"/>
          <w:szCs w:val="28"/>
        </w:rPr>
      </w:pPr>
    </w:p>
    <w:p>
      <w:pPr>
        <w:shd w:val="clear" w:color="auto" w:fill="FFFFFF"/>
        <w:suppressAutoHyphens w:val="0"/>
        <w:autoSpaceDN/>
        <w:ind w:firstLine="567"/>
        <w:jc w:val="both"/>
        <w:textAlignment w:val="auto"/>
        <w:rPr>
          <w:color w:val="000000"/>
          <w:sz w:val="28"/>
          <w:szCs w:val="28"/>
        </w:rPr>
      </w:pPr>
      <w:r>
        <w:rPr>
          <w:color w:val="000000"/>
          <w:sz w:val="28"/>
          <w:szCs w:val="28"/>
        </w:rPr>
        <w:t>Генеральный план Тормосинского сельского поселения Чернышковского муниципального района Волгоградской области (далее – генеральный план Тормосинского сельского поселения) разработан на часть поселения применительно к населенному пункту хутор Тормосин. Генеральный план Тормосинского  сельского поселения разработан</w:t>
      </w:r>
      <w:r>
        <w:rPr>
          <w:sz w:val="28"/>
          <w:szCs w:val="28"/>
          <w:lang w:eastAsia="en-US"/>
        </w:rPr>
        <w:t xml:space="preserve"> с целью обеспечения планирования развития территории населенного пункта – </w:t>
      </w:r>
      <w:r>
        <w:rPr>
          <w:color w:val="000000"/>
          <w:sz w:val="28"/>
          <w:szCs w:val="28"/>
        </w:rPr>
        <w:t>хутор Тормосин</w:t>
      </w:r>
      <w:r>
        <w:rPr>
          <w:sz w:val="28"/>
          <w:szCs w:val="28"/>
          <w:lang w:eastAsia="en-US"/>
        </w:rPr>
        <w:t>, ее рационального использования, привлечения инвестиций, обеспечения потребностей населения.</w:t>
      </w:r>
      <w:r>
        <w:rPr>
          <w:color w:val="000000"/>
          <w:sz w:val="28"/>
          <w:szCs w:val="28"/>
        </w:rPr>
        <w:t xml:space="preserve"> </w:t>
      </w:r>
    </w:p>
    <w:p>
      <w:pPr>
        <w:widowControl w:val="0"/>
        <w:suppressAutoHyphens w:val="0"/>
        <w:autoSpaceDE w:val="0"/>
        <w:adjustRightInd w:val="0"/>
        <w:ind w:firstLine="567"/>
        <w:jc w:val="both"/>
        <w:textAlignment w:val="auto"/>
        <w:rPr>
          <w:sz w:val="28"/>
          <w:szCs w:val="28"/>
          <w:lang w:eastAsia="en-US"/>
        </w:rPr>
      </w:pPr>
      <w:r>
        <w:rPr>
          <w:color w:val="000000"/>
          <w:sz w:val="28"/>
          <w:szCs w:val="28"/>
        </w:rPr>
        <w:t>Генеральный план Тормосинского сельского поселения Чернышковского муниципального района Волгоградской области</w:t>
      </w:r>
      <w:r>
        <w:rPr>
          <w:sz w:val="28"/>
          <w:szCs w:val="28"/>
          <w:lang w:eastAsia="en-US"/>
        </w:rPr>
        <w:t xml:space="preserve"> является документом территориального планирования муниципального образования направленный на создание условий устойчивого развития поселения на срок до 2034 года и является обязательным документом для органов местного самоуправления при принятии ими решений и реализации таких решений. </w:t>
      </w:r>
    </w:p>
    <w:p>
      <w:pPr>
        <w:suppressAutoHyphens w:val="0"/>
        <w:autoSpaceDN/>
        <w:ind w:firstLine="567"/>
        <w:jc w:val="both"/>
        <w:textAlignment w:val="auto"/>
        <w:rPr>
          <w:sz w:val="28"/>
          <w:szCs w:val="28"/>
          <w:lang w:eastAsia="en-US"/>
        </w:rPr>
      </w:pPr>
      <w:r>
        <w:rPr>
          <w:sz w:val="28"/>
          <w:szCs w:val="28"/>
          <w:lang w:eastAsia="en-US"/>
        </w:rPr>
        <w:t xml:space="preserve">Проектные решения генерального плана поселения являются основанием для разработки правил землепользования и застройки, документации по планировке территории, а также территориальных и отраслевых схем размещения отдельных видов строительства, развития транспортной, инженерной и социальной инфраструктур, охраны окружающей среды. </w:t>
      </w:r>
    </w:p>
    <w:p>
      <w:pPr>
        <w:suppressAutoHyphens w:val="0"/>
        <w:overflowPunct w:val="0"/>
        <w:autoSpaceDE w:val="0"/>
        <w:adjustRightInd w:val="0"/>
        <w:spacing w:line="288" w:lineRule="auto"/>
        <w:ind w:left="-284" w:firstLine="708"/>
        <w:jc w:val="both"/>
        <w:rPr>
          <w:sz w:val="28"/>
          <w:szCs w:val="28"/>
        </w:rPr>
      </w:pPr>
      <w:r>
        <w:rPr>
          <w:sz w:val="28"/>
          <w:szCs w:val="28"/>
        </w:rPr>
        <w:t>Общая площадь земель сельского поселения составляет  95446,94 га.</w:t>
      </w:r>
    </w:p>
    <w:p>
      <w:pPr>
        <w:suppressAutoHyphens w:val="0"/>
        <w:overflowPunct w:val="0"/>
        <w:autoSpaceDE w:val="0"/>
        <w:adjustRightInd w:val="0"/>
        <w:spacing w:line="288" w:lineRule="auto"/>
        <w:ind w:firstLine="708"/>
        <w:jc w:val="both"/>
        <w:rPr>
          <w:sz w:val="28"/>
          <w:szCs w:val="28"/>
        </w:rPr>
      </w:pPr>
      <w:r>
        <w:rPr>
          <w:sz w:val="28"/>
          <w:szCs w:val="28"/>
        </w:rPr>
        <w:t>Общая площадь земель населенных пунктов, входящих в Тормосиновское сельское поселение представлена  согласно таблице 1.</w:t>
      </w:r>
    </w:p>
    <w:p>
      <w:pPr>
        <w:suppressAutoHyphens w:val="0"/>
        <w:overflowPunct w:val="0"/>
        <w:autoSpaceDE w:val="0"/>
        <w:adjustRightInd w:val="0"/>
        <w:spacing w:line="288" w:lineRule="auto"/>
        <w:ind w:left="-284" w:firstLine="708"/>
        <w:jc w:val="center"/>
        <w:rPr>
          <w:i/>
          <w:sz w:val="28"/>
          <w:szCs w:val="28"/>
        </w:rPr>
      </w:pPr>
      <w:r>
        <w:rPr>
          <w:i/>
          <w:sz w:val="28"/>
          <w:szCs w:val="28"/>
        </w:rPr>
        <w:t>Площадь земель населенных пунктов</w:t>
      </w:r>
    </w:p>
    <w:tbl>
      <w:tblPr>
        <w:tblStyle w:val="28"/>
        <w:tblW w:w="9356" w:type="dxa"/>
        <w:tblInd w:w="29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85"/>
        <w:gridCol w:w="3368"/>
        <w:gridCol w:w="2552"/>
        <w:gridCol w:w="25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85" w:type="dxa"/>
          </w:tcPr>
          <w:p>
            <w:pPr>
              <w:suppressAutoHyphens w:val="0"/>
              <w:overflowPunct w:val="0"/>
              <w:autoSpaceDE w:val="0"/>
              <w:adjustRightInd w:val="0"/>
              <w:spacing w:line="288" w:lineRule="auto"/>
              <w:ind w:left="-284"/>
              <w:jc w:val="center"/>
            </w:pPr>
            <w:r>
              <w:t>№</w:t>
            </w:r>
          </w:p>
          <w:p>
            <w:pPr>
              <w:tabs>
                <w:tab w:val="left" w:pos="186"/>
              </w:tabs>
              <w:suppressAutoHyphens w:val="0"/>
              <w:overflowPunct w:val="0"/>
              <w:autoSpaceDE w:val="0"/>
              <w:adjustRightInd w:val="0"/>
              <w:spacing w:line="288" w:lineRule="auto"/>
              <w:ind w:left="-151"/>
              <w:jc w:val="center"/>
            </w:pPr>
            <w:r>
              <w:t>п/п</w:t>
            </w:r>
          </w:p>
        </w:tc>
        <w:tc>
          <w:tcPr>
            <w:tcW w:w="3368" w:type="dxa"/>
          </w:tcPr>
          <w:p>
            <w:pPr>
              <w:suppressAutoHyphens w:val="0"/>
              <w:overflowPunct w:val="0"/>
              <w:autoSpaceDE w:val="0"/>
              <w:adjustRightInd w:val="0"/>
              <w:spacing w:line="288" w:lineRule="auto"/>
              <w:ind w:left="142" w:right="138"/>
              <w:jc w:val="center"/>
            </w:pPr>
            <w:r>
              <w:t>Наименование населенного пункта</w:t>
            </w:r>
          </w:p>
        </w:tc>
        <w:tc>
          <w:tcPr>
            <w:tcW w:w="2552" w:type="dxa"/>
          </w:tcPr>
          <w:p>
            <w:pPr>
              <w:suppressAutoHyphens w:val="0"/>
              <w:overflowPunct w:val="0"/>
              <w:autoSpaceDE w:val="0"/>
              <w:adjustRightInd w:val="0"/>
              <w:spacing w:line="288" w:lineRule="auto"/>
              <w:ind w:left="-71"/>
              <w:jc w:val="center"/>
            </w:pPr>
            <w:r>
              <w:t>Площадь в границах кадастровых кварталов (га)</w:t>
            </w:r>
          </w:p>
        </w:tc>
        <w:tc>
          <w:tcPr>
            <w:tcW w:w="2551" w:type="dxa"/>
          </w:tcPr>
          <w:p>
            <w:pPr>
              <w:suppressAutoHyphens w:val="0"/>
              <w:overflowPunct w:val="0"/>
              <w:autoSpaceDE w:val="0"/>
              <w:adjustRightInd w:val="0"/>
              <w:spacing w:line="288" w:lineRule="auto"/>
              <w:ind w:left="-104"/>
              <w:jc w:val="center"/>
            </w:pPr>
            <w:r>
              <w:t>Площадь по генеральному плану (га)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85" w:type="dxa"/>
          </w:tcPr>
          <w:p>
            <w:pPr>
              <w:suppressAutoHyphens w:val="0"/>
              <w:overflowPunct w:val="0"/>
              <w:autoSpaceDE w:val="0"/>
              <w:adjustRightInd w:val="0"/>
              <w:spacing w:line="288" w:lineRule="auto"/>
              <w:ind w:left="-284"/>
              <w:jc w:val="center"/>
            </w:pPr>
            <w:r>
              <w:t>1</w:t>
            </w:r>
          </w:p>
        </w:tc>
        <w:tc>
          <w:tcPr>
            <w:tcW w:w="3368" w:type="dxa"/>
          </w:tcPr>
          <w:p>
            <w:pPr>
              <w:suppressAutoHyphens w:val="0"/>
              <w:overflowPunct w:val="0"/>
              <w:autoSpaceDE w:val="0"/>
              <w:adjustRightInd w:val="0"/>
              <w:spacing w:line="288" w:lineRule="auto"/>
              <w:ind w:left="142" w:right="138"/>
              <w:jc w:val="center"/>
            </w:pPr>
            <w:r>
              <w:t>Хутор Тормосин</w:t>
            </w:r>
          </w:p>
        </w:tc>
        <w:tc>
          <w:tcPr>
            <w:tcW w:w="2552" w:type="dxa"/>
          </w:tcPr>
          <w:p>
            <w:pPr>
              <w:suppressAutoHyphens w:val="0"/>
              <w:overflowPunct w:val="0"/>
              <w:autoSpaceDE w:val="0"/>
              <w:adjustRightInd w:val="0"/>
              <w:spacing w:line="288" w:lineRule="auto"/>
              <w:ind w:left="-71"/>
              <w:jc w:val="center"/>
            </w:pPr>
            <w:r>
              <w:t>450,92</w:t>
            </w:r>
          </w:p>
        </w:tc>
        <w:tc>
          <w:tcPr>
            <w:tcW w:w="2551" w:type="dxa"/>
          </w:tcPr>
          <w:p>
            <w:pPr>
              <w:suppressAutoHyphens w:val="0"/>
              <w:overflowPunct w:val="0"/>
              <w:autoSpaceDE w:val="0"/>
              <w:adjustRightInd w:val="0"/>
              <w:spacing w:line="288" w:lineRule="auto"/>
              <w:ind w:left="-104"/>
              <w:jc w:val="cente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85" w:type="dxa"/>
          </w:tcPr>
          <w:p>
            <w:pPr>
              <w:suppressAutoHyphens w:val="0"/>
              <w:overflowPunct w:val="0"/>
              <w:autoSpaceDE w:val="0"/>
              <w:adjustRightInd w:val="0"/>
              <w:spacing w:line="288" w:lineRule="auto"/>
              <w:ind w:left="-284"/>
              <w:jc w:val="center"/>
            </w:pPr>
            <w:r>
              <w:t>2</w:t>
            </w:r>
          </w:p>
        </w:tc>
        <w:tc>
          <w:tcPr>
            <w:tcW w:w="3368" w:type="dxa"/>
          </w:tcPr>
          <w:p>
            <w:pPr>
              <w:suppressAutoHyphens w:val="0"/>
              <w:overflowPunct w:val="0"/>
              <w:autoSpaceDE w:val="0"/>
              <w:adjustRightInd w:val="0"/>
              <w:spacing w:line="288" w:lineRule="auto"/>
              <w:ind w:left="142" w:right="138"/>
              <w:jc w:val="center"/>
            </w:pPr>
            <w:r>
              <w:t>Хутор Акользин</w:t>
            </w:r>
          </w:p>
        </w:tc>
        <w:tc>
          <w:tcPr>
            <w:tcW w:w="2552" w:type="dxa"/>
          </w:tcPr>
          <w:p>
            <w:pPr>
              <w:suppressAutoHyphens w:val="0"/>
              <w:overflowPunct w:val="0"/>
              <w:autoSpaceDE w:val="0"/>
              <w:adjustRightInd w:val="0"/>
              <w:spacing w:line="288" w:lineRule="auto"/>
              <w:ind w:left="-71"/>
              <w:jc w:val="center"/>
            </w:pPr>
            <w:r>
              <w:t>11,47</w:t>
            </w:r>
          </w:p>
        </w:tc>
        <w:tc>
          <w:tcPr>
            <w:tcW w:w="2551" w:type="dxa"/>
          </w:tcPr>
          <w:p>
            <w:pPr>
              <w:suppressAutoHyphens w:val="0"/>
              <w:overflowPunct w:val="0"/>
              <w:autoSpaceDE w:val="0"/>
              <w:adjustRightInd w:val="0"/>
              <w:spacing w:line="288" w:lineRule="auto"/>
              <w:ind w:left="-104"/>
              <w:jc w:val="cente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85" w:type="dxa"/>
          </w:tcPr>
          <w:p>
            <w:pPr>
              <w:suppressAutoHyphens w:val="0"/>
              <w:overflowPunct w:val="0"/>
              <w:autoSpaceDE w:val="0"/>
              <w:adjustRightInd w:val="0"/>
              <w:spacing w:line="288" w:lineRule="auto"/>
              <w:ind w:left="-284"/>
              <w:jc w:val="center"/>
            </w:pPr>
            <w:r>
              <w:t>3</w:t>
            </w:r>
          </w:p>
        </w:tc>
        <w:tc>
          <w:tcPr>
            <w:tcW w:w="3368" w:type="dxa"/>
          </w:tcPr>
          <w:p>
            <w:pPr>
              <w:suppressAutoHyphens w:val="0"/>
              <w:overflowPunct w:val="0"/>
              <w:autoSpaceDE w:val="0"/>
              <w:adjustRightInd w:val="0"/>
              <w:spacing w:line="288" w:lineRule="auto"/>
              <w:ind w:left="142" w:right="138"/>
              <w:jc w:val="center"/>
            </w:pPr>
            <w:r>
              <w:t>Хутор Морской</w:t>
            </w:r>
          </w:p>
        </w:tc>
        <w:tc>
          <w:tcPr>
            <w:tcW w:w="2552" w:type="dxa"/>
          </w:tcPr>
          <w:p>
            <w:pPr>
              <w:suppressAutoHyphens w:val="0"/>
              <w:overflowPunct w:val="0"/>
              <w:autoSpaceDE w:val="0"/>
              <w:adjustRightInd w:val="0"/>
              <w:spacing w:line="288" w:lineRule="auto"/>
              <w:ind w:left="-71"/>
              <w:jc w:val="center"/>
            </w:pPr>
            <w:r>
              <w:t>152,13</w:t>
            </w:r>
          </w:p>
        </w:tc>
        <w:tc>
          <w:tcPr>
            <w:tcW w:w="2551" w:type="dxa"/>
          </w:tcPr>
          <w:p>
            <w:pPr>
              <w:suppressAutoHyphens w:val="0"/>
              <w:overflowPunct w:val="0"/>
              <w:autoSpaceDE w:val="0"/>
              <w:adjustRightInd w:val="0"/>
              <w:spacing w:line="288" w:lineRule="auto"/>
              <w:ind w:left="-104"/>
              <w:jc w:val="cente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85" w:type="dxa"/>
          </w:tcPr>
          <w:p>
            <w:pPr>
              <w:suppressAutoHyphens w:val="0"/>
              <w:overflowPunct w:val="0"/>
              <w:autoSpaceDE w:val="0"/>
              <w:adjustRightInd w:val="0"/>
              <w:spacing w:line="288" w:lineRule="auto"/>
              <w:ind w:left="-284"/>
              <w:jc w:val="center"/>
            </w:pPr>
            <w:r>
              <w:t>4</w:t>
            </w:r>
          </w:p>
        </w:tc>
        <w:tc>
          <w:tcPr>
            <w:tcW w:w="3368" w:type="dxa"/>
          </w:tcPr>
          <w:p>
            <w:pPr>
              <w:suppressAutoHyphens w:val="0"/>
              <w:overflowPunct w:val="0"/>
              <w:autoSpaceDE w:val="0"/>
              <w:adjustRightInd w:val="0"/>
              <w:spacing w:line="288" w:lineRule="auto"/>
              <w:ind w:left="142" w:right="138"/>
              <w:jc w:val="center"/>
            </w:pPr>
            <w:r>
              <w:t>Хутор Комаров</w:t>
            </w:r>
          </w:p>
        </w:tc>
        <w:tc>
          <w:tcPr>
            <w:tcW w:w="2552" w:type="dxa"/>
          </w:tcPr>
          <w:p>
            <w:pPr>
              <w:suppressAutoHyphens w:val="0"/>
              <w:overflowPunct w:val="0"/>
              <w:autoSpaceDE w:val="0"/>
              <w:adjustRightInd w:val="0"/>
              <w:spacing w:line="288" w:lineRule="auto"/>
              <w:ind w:left="-71"/>
              <w:jc w:val="center"/>
            </w:pPr>
            <w:r>
              <w:t>72,60</w:t>
            </w:r>
          </w:p>
        </w:tc>
        <w:tc>
          <w:tcPr>
            <w:tcW w:w="2551" w:type="dxa"/>
          </w:tcPr>
          <w:p>
            <w:pPr>
              <w:suppressAutoHyphens w:val="0"/>
              <w:overflowPunct w:val="0"/>
              <w:autoSpaceDE w:val="0"/>
              <w:adjustRightInd w:val="0"/>
              <w:spacing w:line="288" w:lineRule="auto"/>
              <w:ind w:left="-104"/>
              <w:jc w:val="cente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85" w:type="dxa"/>
          </w:tcPr>
          <w:p>
            <w:pPr>
              <w:suppressAutoHyphens w:val="0"/>
              <w:overflowPunct w:val="0"/>
              <w:autoSpaceDE w:val="0"/>
              <w:adjustRightInd w:val="0"/>
              <w:spacing w:line="288" w:lineRule="auto"/>
              <w:ind w:left="-284"/>
              <w:jc w:val="center"/>
            </w:pPr>
            <w:r>
              <w:t>5</w:t>
            </w:r>
          </w:p>
        </w:tc>
        <w:tc>
          <w:tcPr>
            <w:tcW w:w="3368" w:type="dxa"/>
          </w:tcPr>
          <w:p>
            <w:pPr>
              <w:suppressAutoHyphens w:val="0"/>
              <w:overflowPunct w:val="0"/>
              <w:autoSpaceDE w:val="0"/>
              <w:adjustRightInd w:val="0"/>
              <w:spacing w:line="288" w:lineRule="auto"/>
              <w:ind w:left="142" w:right="138"/>
              <w:jc w:val="center"/>
            </w:pPr>
            <w:r>
              <w:t>Хутор Семёнов</w:t>
            </w:r>
          </w:p>
        </w:tc>
        <w:tc>
          <w:tcPr>
            <w:tcW w:w="2552" w:type="dxa"/>
          </w:tcPr>
          <w:p>
            <w:pPr>
              <w:suppressAutoHyphens w:val="0"/>
              <w:overflowPunct w:val="0"/>
              <w:autoSpaceDE w:val="0"/>
              <w:adjustRightInd w:val="0"/>
              <w:spacing w:line="288" w:lineRule="auto"/>
              <w:ind w:left="-71"/>
              <w:jc w:val="center"/>
            </w:pPr>
            <w:r>
              <w:t>19,79</w:t>
            </w:r>
          </w:p>
        </w:tc>
        <w:tc>
          <w:tcPr>
            <w:tcW w:w="2551" w:type="dxa"/>
          </w:tcPr>
          <w:p>
            <w:pPr>
              <w:suppressAutoHyphens w:val="0"/>
              <w:overflowPunct w:val="0"/>
              <w:autoSpaceDE w:val="0"/>
              <w:adjustRightInd w:val="0"/>
              <w:spacing w:line="288" w:lineRule="auto"/>
              <w:ind w:left="-104"/>
              <w:jc w:val="cente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885" w:type="dxa"/>
          </w:tcPr>
          <w:p>
            <w:pPr>
              <w:suppressAutoHyphens w:val="0"/>
              <w:overflowPunct w:val="0"/>
              <w:autoSpaceDE w:val="0"/>
              <w:adjustRightInd w:val="0"/>
              <w:spacing w:line="288" w:lineRule="auto"/>
              <w:ind w:left="-284"/>
              <w:jc w:val="center"/>
            </w:pPr>
            <w:r>
              <w:t>6</w:t>
            </w:r>
          </w:p>
        </w:tc>
        <w:tc>
          <w:tcPr>
            <w:tcW w:w="3368" w:type="dxa"/>
          </w:tcPr>
          <w:p>
            <w:pPr>
              <w:suppressAutoHyphens w:val="0"/>
              <w:overflowPunct w:val="0"/>
              <w:autoSpaceDE w:val="0"/>
              <w:adjustRightInd w:val="0"/>
              <w:spacing w:line="288" w:lineRule="auto"/>
              <w:ind w:left="142" w:right="138"/>
              <w:jc w:val="center"/>
            </w:pPr>
            <w:r>
              <w:t>Хутор Минаев</w:t>
            </w:r>
          </w:p>
        </w:tc>
        <w:tc>
          <w:tcPr>
            <w:tcW w:w="2552" w:type="dxa"/>
          </w:tcPr>
          <w:p>
            <w:pPr>
              <w:suppressAutoHyphens w:val="0"/>
              <w:overflowPunct w:val="0"/>
              <w:autoSpaceDE w:val="0"/>
              <w:adjustRightInd w:val="0"/>
              <w:spacing w:line="288" w:lineRule="auto"/>
              <w:ind w:left="-71"/>
              <w:jc w:val="center"/>
            </w:pPr>
          </w:p>
        </w:tc>
        <w:tc>
          <w:tcPr>
            <w:tcW w:w="2551" w:type="dxa"/>
          </w:tcPr>
          <w:p>
            <w:pPr>
              <w:suppressAutoHyphens w:val="0"/>
              <w:overflowPunct w:val="0"/>
              <w:autoSpaceDE w:val="0"/>
              <w:adjustRightInd w:val="0"/>
              <w:spacing w:line="288" w:lineRule="auto"/>
              <w:ind w:left="-104"/>
              <w:jc w:val="center"/>
            </w:pPr>
          </w:p>
        </w:tc>
      </w:tr>
    </w:tbl>
    <w:p>
      <w:pPr>
        <w:suppressAutoHyphens w:val="0"/>
        <w:autoSpaceDN/>
        <w:spacing w:line="288" w:lineRule="auto"/>
        <w:ind w:left="-284" w:firstLine="709"/>
        <w:jc w:val="both"/>
        <w:textAlignment w:val="auto"/>
        <w:rPr>
          <w:b/>
          <w:sz w:val="28"/>
          <w:szCs w:val="28"/>
        </w:rPr>
      </w:pPr>
    </w:p>
    <w:p>
      <w:pPr>
        <w:jc w:val="both"/>
        <w:rPr>
          <w:sz w:val="28"/>
          <w:szCs w:val="28"/>
        </w:rPr>
      </w:pPr>
      <w:r>
        <w:rPr>
          <w:sz w:val="28"/>
          <w:szCs w:val="28"/>
        </w:rPr>
        <w:t xml:space="preserve">    Использование территории в границах населенного пункта хутор Тормосин складывается в основном из жилой зоны, производственной зоны, зоны сельскохозяйственного использования  и инфраструктурных зон, обслуживающих жилье и производство. </w:t>
      </w:r>
    </w:p>
    <w:p>
      <w:pPr>
        <w:jc w:val="both"/>
        <w:rPr>
          <w:sz w:val="28"/>
          <w:szCs w:val="28"/>
        </w:rPr>
      </w:pPr>
      <w:r>
        <w:rPr>
          <w:sz w:val="28"/>
          <w:szCs w:val="28"/>
        </w:rPr>
        <w:t>Согласно утвержденных программ  развития Волгоградской области размещение новых объектов регионального  значения на территории хутора Верхнегнутов не запланировано. Размещение объектов федерального значения на рассматриваемой территории согласно схем территориального планирования РФ не предусматривается.</w:t>
      </w:r>
    </w:p>
    <w:p>
      <w:pPr>
        <w:suppressAutoHyphens w:val="0"/>
        <w:autoSpaceDN/>
        <w:ind w:firstLine="567"/>
        <w:jc w:val="both"/>
        <w:textAlignment w:val="auto"/>
        <w:rPr>
          <w:bCs/>
          <w:iCs/>
          <w:sz w:val="28"/>
          <w:szCs w:val="28"/>
        </w:rPr>
      </w:pPr>
      <w:r>
        <w:rPr>
          <w:sz w:val="28"/>
          <w:szCs w:val="28"/>
          <w:lang w:eastAsia="en-US"/>
        </w:rPr>
        <w:t>В результате градостроительного анализа использования территории хутора Тормосин определено, что для развития населенного пункта до 2034 года имеются необходимые территориальные ресурсы</w:t>
      </w:r>
      <w:r>
        <w:rPr>
          <w:i/>
          <w:sz w:val="28"/>
          <w:szCs w:val="28"/>
          <w:lang w:eastAsia="en-US"/>
        </w:rPr>
        <w:t xml:space="preserve"> </w:t>
      </w:r>
      <w:r>
        <w:rPr>
          <w:sz w:val="28"/>
          <w:szCs w:val="28"/>
          <w:lang w:eastAsia="en-US"/>
        </w:rPr>
        <w:t>для жилищного строительства, развития транспортной инфраструктуры и административно-деловой зоны. Генеральным планом планируется развитие населенного пункта, используются для застройки, имеющиеся земельные ресурсы.</w:t>
      </w:r>
    </w:p>
    <w:p>
      <w:pPr>
        <w:shd w:val="clear" w:color="auto" w:fill="FFFFFF"/>
        <w:suppressAutoHyphens w:val="0"/>
        <w:autoSpaceDN/>
        <w:ind w:firstLine="567"/>
        <w:jc w:val="both"/>
        <w:textAlignment w:val="auto"/>
        <w:rPr>
          <w:color w:val="000000"/>
          <w:sz w:val="28"/>
          <w:szCs w:val="28"/>
          <w:lang w:eastAsia="en-US"/>
        </w:rPr>
      </w:pPr>
      <w:r>
        <w:rPr>
          <w:sz w:val="28"/>
          <w:szCs w:val="28"/>
          <w:lang w:eastAsia="en-US"/>
        </w:rPr>
        <w:t>Формирование общественного центра преемственно продолжено по предложениям предыдущей градостроительной документации, с учетом уже построенных объектов социально-культурного назначения, наличия объектов культурного наследия и зеленых насаждений.</w:t>
      </w:r>
      <w:r>
        <w:rPr>
          <w:bCs/>
          <w:color w:val="000000"/>
          <w:sz w:val="28"/>
          <w:szCs w:val="28"/>
          <w:lang w:eastAsia="en-US"/>
        </w:rPr>
        <w:t xml:space="preserve"> Общественно-деловые зона</w:t>
      </w:r>
      <w:r>
        <w:rPr>
          <w:color w:val="000000"/>
          <w:sz w:val="28"/>
          <w:szCs w:val="28"/>
          <w:lang w:eastAsia="en-US"/>
        </w:rPr>
        <w:t xml:space="preserve">, предназначена для размещения объектов социального, общественного, коммерческого назначения, объектов здравоохранения и социальной защиты, объектов образования, которые формируются в планировочный и административный центр на двух сложившихся территориях. </w:t>
      </w:r>
    </w:p>
    <w:p>
      <w:pPr>
        <w:shd w:val="clear" w:color="auto" w:fill="FFFFFF"/>
        <w:suppressAutoHyphens w:val="0"/>
        <w:autoSpaceDN/>
        <w:ind w:firstLine="567"/>
        <w:jc w:val="both"/>
        <w:textAlignment w:val="auto"/>
        <w:rPr>
          <w:sz w:val="28"/>
          <w:szCs w:val="28"/>
          <w:lang w:eastAsia="en-US"/>
        </w:rPr>
      </w:pPr>
      <w:r>
        <w:rPr>
          <w:sz w:val="28"/>
          <w:szCs w:val="28"/>
          <w:lang w:eastAsia="en-US"/>
        </w:rPr>
        <w:t>Размещение объектов местного значения на территории населенного пункта  к 2034 году будет способствовать развитию поселения со следующими показателями.</w:t>
      </w:r>
    </w:p>
    <w:p>
      <w:pPr>
        <w:suppressAutoHyphens w:val="0"/>
        <w:autoSpaceDN/>
        <w:ind w:firstLine="567"/>
        <w:textAlignment w:val="auto"/>
        <w:rPr>
          <w:lang w:eastAsia="en-US"/>
        </w:rPr>
      </w:pPr>
      <w:r>
        <w:rPr>
          <w:lang w:eastAsia="en-US"/>
        </w:rPr>
        <w:tab/>
      </w:r>
    </w:p>
    <w:p>
      <w:pPr>
        <w:suppressAutoHyphens w:val="0"/>
        <w:autoSpaceDN/>
        <w:ind w:firstLine="567"/>
        <w:jc w:val="center"/>
        <w:textAlignment w:val="auto"/>
        <w:rPr>
          <w:i/>
          <w:sz w:val="28"/>
          <w:szCs w:val="28"/>
          <w:lang w:eastAsia="en-US"/>
        </w:rPr>
      </w:pPr>
      <w:r>
        <w:rPr>
          <w:i/>
          <w:sz w:val="28"/>
          <w:szCs w:val="28"/>
          <w:lang w:eastAsia="en-US"/>
        </w:rPr>
        <w:t>Технико-экономические показатели по</w:t>
      </w:r>
    </w:p>
    <w:p>
      <w:pPr>
        <w:suppressAutoHyphens w:val="0"/>
        <w:autoSpaceDN/>
        <w:ind w:firstLine="567"/>
        <w:jc w:val="center"/>
        <w:textAlignment w:val="auto"/>
        <w:rPr>
          <w:i/>
          <w:color w:val="000000"/>
          <w:sz w:val="28"/>
          <w:szCs w:val="28"/>
        </w:rPr>
      </w:pPr>
      <w:r>
        <w:rPr>
          <w:i/>
          <w:sz w:val="28"/>
          <w:szCs w:val="28"/>
          <w:lang w:eastAsia="en-US"/>
        </w:rPr>
        <w:t xml:space="preserve"> </w:t>
      </w:r>
      <w:r>
        <w:rPr>
          <w:i/>
          <w:color w:val="000000"/>
          <w:sz w:val="28"/>
          <w:szCs w:val="28"/>
        </w:rPr>
        <w:t xml:space="preserve">Тормосинскому сельскому </w:t>
      </w:r>
      <w:r>
        <w:rPr>
          <w:i/>
          <w:sz w:val="28"/>
          <w:szCs w:val="28"/>
          <w:lang w:eastAsia="en-US"/>
        </w:rPr>
        <w:t>поселению</w:t>
      </w:r>
    </w:p>
    <w:p>
      <w:pPr>
        <w:suppressAutoHyphens w:val="0"/>
        <w:autoSpaceDN/>
        <w:ind w:firstLine="567"/>
        <w:textAlignment w:val="auto"/>
        <w:rPr>
          <w:sz w:val="28"/>
          <w:szCs w:val="28"/>
          <w:lang w:eastAsia="en-US"/>
        </w:rPr>
      </w:pPr>
      <w:r>
        <w:rPr>
          <w:sz w:val="28"/>
          <w:szCs w:val="28"/>
          <w:lang w:eastAsia="en-US"/>
        </w:rPr>
        <w:t xml:space="preserve"> </w:t>
      </w:r>
    </w:p>
    <w:tbl>
      <w:tblPr>
        <w:tblStyle w:val="28"/>
        <w:tblW w:w="921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0"/>
        <w:gridCol w:w="3968"/>
        <w:gridCol w:w="993"/>
        <w:gridCol w:w="2126"/>
        <w:gridCol w:w="14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6" w:hRule="atLeast"/>
        </w:trPr>
        <w:tc>
          <w:tcPr>
            <w:tcW w:w="710" w:type="dxa"/>
            <w:vMerge w:val="restart"/>
            <w:vAlign w:val="center"/>
          </w:tcPr>
          <w:p>
            <w:pPr>
              <w:pStyle w:val="87"/>
              <w:jc w:val="center"/>
              <w:rPr>
                <w:sz w:val="24"/>
                <w:szCs w:val="24"/>
                <w:lang w:eastAsia="en-US"/>
              </w:rPr>
            </w:pPr>
          </w:p>
          <w:p>
            <w:pPr>
              <w:pStyle w:val="87"/>
              <w:jc w:val="center"/>
              <w:rPr>
                <w:sz w:val="24"/>
                <w:szCs w:val="24"/>
                <w:lang w:eastAsia="en-US"/>
              </w:rPr>
            </w:pPr>
            <w:r>
              <w:rPr>
                <w:sz w:val="24"/>
                <w:szCs w:val="24"/>
                <w:lang w:eastAsia="en-US"/>
              </w:rPr>
              <w:t>№</w:t>
            </w:r>
          </w:p>
        </w:tc>
        <w:tc>
          <w:tcPr>
            <w:tcW w:w="3968" w:type="dxa"/>
            <w:vMerge w:val="restart"/>
            <w:vAlign w:val="center"/>
          </w:tcPr>
          <w:p>
            <w:pPr>
              <w:pStyle w:val="87"/>
              <w:jc w:val="center"/>
              <w:rPr>
                <w:sz w:val="24"/>
                <w:szCs w:val="24"/>
                <w:lang w:eastAsia="en-US"/>
              </w:rPr>
            </w:pPr>
            <w:r>
              <w:rPr>
                <w:sz w:val="24"/>
                <w:szCs w:val="24"/>
                <w:lang w:eastAsia="en-US"/>
              </w:rPr>
              <w:t>Наименование</w:t>
            </w:r>
          </w:p>
          <w:p>
            <w:pPr>
              <w:pStyle w:val="87"/>
              <w:jc w:val="center"/>
              <w:rPr>
                <w:sz w:val="24"/>
                <w:szCs w:val="24"/>
                <w:lang w:eastAsia="en-US"/>
              </w:rPr>
            </w:pPr>
            <w:r>
              <w:rPr>
                <w:sz w:val="24"/>
                <w:szCs w:val="24"/>
                <w:lang w:eastAsia="en-US"/>
              </w:rPr>
              <w:t>показателя</w:t>
            </w:r>
          </w:p>
        </w:tc>
        <w:tc>
          <w:tcPr>
            <w:tcW w:w="4536" w:type="dxa"/>
            <w:gridSpan w:val="3"/>
            <w:vAlign w:val="center"/>
          </w:tcPr>
          <w:p>
            <w:pPr>
              <w:pStyle w:val="87"/>
              <w:jc w:val="center"/>
              <w:rPr>
                <w:sz w:val="24"/>
                <w:szCs w:val="24"/>
                <w:lang w:eastAsia="en-US"/>
              </w:rPr>
            </w:pPr>
            <w:r>
              <w:rPr>
                <w:sz w:val="24"/>
                <w:szCs w:val="24"/>
                <w:lang w:eastAsia="en-US"/>
              </w:rPr>
              <w:t>Площадь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3" w:hRule="atLeast"/>
        </w:trPr>
        <w:tc>
          <w:tcPr>
            <w:tcW w:w="710" w:type="dxa"/>
            <w:vMerge w:val="continue"/>
            <w:vAlign w:val="center"/>
          </w:tcPr>
          <w:p>
            <w:pPr>
              <w:pStyle w:val="87"/>
              <w:jc w:val="center"/>
              <w:rPr>
                <w:sz w:val="24"/>
                <w:szCs w:val="24"/>
                <w:lang w:eastAsia="en-US"/>
              </w:rPr>
            </w:pPr>
          </w:p>
        </w:tc>
        <w:tc>
          <w:tcPr>
            <w:tcW w:w="3968" w:type="dxa"/>
            <w:vMerge w:val="continue"/>
            <w:vAlign w:val="center"/>
          </w:tcPr>
          <w:p>
            <w:pPr>
              <w:pStyle w:val="87"/>
              <w:jc w:val="center"/>
              <w:rPr>
                <w:sz w:val="24"/>
                <w:szCs w:val="24"/>
                <w:lang w:eastAsia="en-US"/>
              </w:rPr>
            </w:pPr>
          </w:p>
        </w:tc>
        <w:tc>
          <w:tcPr>
            <w:tcW w:w="993" w:type="dxa"/>
            <w:vAlign w:val="center"/>
          </w:tcPr>
          <w:p>
            <w:pPr>
              <w:pStyle w:val="87"/>
              <w:jc w:val="center"/>
              <w:rPr>
                <w:sz w:val="24"/>
                <w:szCs w:val="24"/>
                <w:lang w:eastAsia="en-US"/>
              </w:rPr>
            </w:pPr>
            <w:r>
              <w:rPr>
                <w:sz w:val="24"/>
                <w:szCs w:val="24"/>
                <w:lang w:eastAsia="en-US"/>
              </w:rPr>
              <w:t>Единица изм.</w:t>
            </w:r>
          </w:p>
        </w:tc>
        <w:tc>
          <w:tcPr>
            <w:tcW w:w="2126" w:type="dxa"/>
            <w:vAlign w:val="center"/>
          </w:tcPr>
          <w:p>
            <w:pPr>
              <w:pStyle w:val="87"/>
              <w:jc w:val="center"/>
              <w:rPr>
                <w:sz w:val="24"/>
                <w:szCs w:val="24"/>
                <w:lang w:eastAsia="en-US"/>
              </w:rPr>
            </w:pPr>
            <w:r>
              <w:rPr>
                <w:sz w:val="24"/>
                <w:szCs w:val="24"/>
                <w:lang w:eastAsia="en-US"/>
              </w:rPr>
              <w:t>Сущ. состояние</w:t>
            </w:r>
          </w:p>
        </w:tc>
        <w:tc>
          <w:tcPr>
            <w:tcW w:w="1417" w:type="dxa"/>
            <w:vAlign w:val="center"/>
          </w:tcPr>
          <w:p>
            <w:pPr>
              <w:pStyle w:val="87"/>
              <w:jc w:val="center"/>
              <w:rPr>
                <w:sz w:val="24"/>
                <w:szCs w:val="24"/>
                <w:lang w:eastAsia="en-US"/>
              </w:rPr>
            </w:pPr>
            <w:r>
              <w:rPr>
                <w:sz w:val="24"/>
                <w:szCs w:val="24"/>
                <w:lang w:eastAsia="en-US"/>
              </w:rPr>
              <w:t>Расчетный срок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3" w:hRule="atLeast"/>
        </w:trPr>
        <w:tc>
          <w:tcPr>
            <w:tcW w:w="9214" w:type="dxa"/>
            <w:gridSpan w:val="5"/>
            <w:vAlign w:val="center"/>
          </w:tcPr>
          <w:p>
            <w:pPr>
              <w:pStyle w:val="87"/>
              <w:jc w:val="center"/>
              <w:rPr>
                <w:sz w:val="24"/>
                <w:szCs w:val="24"/>
                <w:lang w:eastAsia="en-US"/>
              </w:rPr>
            </w:pPr>
            <w:r>
              <w:rPr>
                <w:sz w:val="24"/>
                <w:szCs w:val="24"/>
                <w:lang w:eastAsia="en-US"/>
              </w:rPr>
              <w:t>Общие показатели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0" w:type="dxa"/>
            <w:vAlign w:val="center"/>
          </w:tcPr>
          <w:p>
            <w:pPr>
              <w:pStyle w:val="87"/>
              <w:jc w:val="center"/>
              <w:rPr>
                <w:sz w:val="24"/>
                <w:szCs w:val="24"/>
                <w:lang w:eastAsia="en-US"/>
              </w:rPr>
            </w:pPr>
            <w:r>
              <w:rPr>
                <w:sz w:val="24"/>
                <w:szCs w:val="24"/>
                <w:lang w:eastAsia="en-US"/>
              </w:rPr>
              <w:t>1</w:t>
            </w:r>
          </w:p>
        </w:tc>
        <w:tc>
          <w:tcPr>
            <w:tcW w:w="3968" w:type="dxa"/>
            <w:vAlign w:val="center"/>
          </w:tcPr>
          <w:p>
            <w:pPr>
              <w:pStyle w:val="87"/>
              <w:rPr>
                <w:sz w:val="24"/>
                <w:szCs w:val="24"/>
                <w:lang w:eastAsia="en-US"/>
              </w:rPr>
            </w:pPr>
            <w:r>
              <w:rPr>
                <w:sz w:val="24"/>
                <w:szCs w:val="24"/>
                <w:lang w:eastAsia="en-US"/>
              </w:rPr>
              <w:t>Жилая зона</w:t>
            </w:r>
          </w:p>
        </w:tc>
        <w:tc>
          <w:tcPr>
            <w:tcW w:w="993" w:type="dxa"/>
            <w:vAlign w:val="center"/>
          </w:tcPr>
          <w:p>
            <w:pPr>
              <w:pStyle w:val="87"/>
              <w:jc w:val="center"/>
              <w:rPr>
                <w:sz w:val="24"/>
                <w:szCs w:val="24"/>
                <w:lang w:eastAsia="en-US"/>
              </w:rPr>
            </w:pPr>
            <w:r>
              <w:rPr>
                <w:sz w:val="24"/>
                <w:szCs w:val="24"/>
                <w:lang w:eastAsia="en-US"/>
              </w:rPr>
              <w:t>га</w:t>
            </w:r>
          </w:p>
        </w:tc>
        <w:tc>
          <w:tcPr>
            <w:tcW w:w="2126" w:type="dxa"/>
            <w:vAlign w:val="center"/>
          </w:tcPr>
          <w:p>
            <w:pPr>
              <w:pStyle w:val="87"/>
              <w:jc w:val="center"/>
              <w:rPr>
                <w:sz w:val="24"/>
                <w:szCs w:val="24"/>
                <w:lang w:eastAsia="en-US"/>
              </w:rPr>
            </w:pPr>
            <w:r>
              <w:rPr>
                <w:sz w:val="24"/>
                <w:szCs w:val="24"/>
                <w:lang w:eastAsia="en-US"/>
              </w:rPr>
              <w:t>258,51</w:t>
            </w:r>
          </w:p>
        </w:tc>
        <w:tc>
          <w:tcPr>
            <w:tcW w:w="1417" w:type="dxa"/>
            <w:vAlign w:val="center"/>
          </w:tcPr>
          <w:p>
            <w:pPr>
              <w:pStyle w:val="87"/>
              <w:jc w:val="center"/>
              <w:rPr>
                <w:sz w:val="24"/>
                <w:szCs w:val="24"/>
                <w:lang w:eastAsia="en-US"/>
              </w:rPr>
            </w:pPr>
            <w:r>
              <w:rPr>
                <w:sz w:val="24"/>
                <w:szCs w:val="24"/>
                <w:lang w:eastAsia="en-US"/>
              </w:rPr>
              <w:t>444,50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0" w:type="dxa"/>
            <w:vAlign w:val="center"/>
          </w:tcPr>
          <w:p>
            <w:pPr>
              <w:pStyle w:val="87"/>
              <w:jc w:val="center"/>
              <w:rPr>
                <w:sz w:val="24"/>
                <w:szCs w:val="24"/>
                <w:lang w:eastAsia="en-US"/>
              </w:rPr>
            </w:pPr>
            <w:r>
              <w:rPr>
                <w:sz w:val="24"/>
                <w:szCs w:val="24"/>
                <w:lang w:eastAsia="en-US"/>
              </w:rPr>
              <w:t>2</w:t>
            </w:r>
          </w:p>
        </w:tc>
        <w:tc>
          <w:tcPr>
            <w:tcW w:w="3968" w:type="dxa"/>
            <w:vAlign w:val="center"/>
          </w:tcPr>
          <w:p>
            <w:pPr>
              <w:pStyle w:val="87"/>
              <w:rPr>
                <w:sz w:val="24"/>
                <w:szCs w:val="24"/>
                <w:lang w:eastAsia="en-US"/>
              </w:rPr>
            </w:pPr>
            <w:r>
              <w:rPr>
                <w:sz w:val="24"/>
                <w:szCs w:val="24"/>
                <w:lang w:eastAsia="en-US"/>
              </w:rPr>
              <w:t>Общественно-деловая зона</w:t>
            </w:r>
          </w:p>
        </w:tc>
        <w:tc>
          <w:tcPr>
            <w:tcW w:w="993" w:type="dxa"/>
            <w:vAlign w:val="center"/>
          </w:tcPr>
          <w:p>
            <w:pPr>
              <w:pStyle w:val="87"/>
              <w:jc w:val="center"/>
              <w:rPr>
                <w:sz w:val="24"/>
                <w:szCs w:val="24"/>
                <w:lang w:eastAsia="en-US"/>
              </w:rPr>
            </w:pPr>
            <w:r>
              <w:rPr>
                <w:sz w:val="24"/>
                <w:szCs w:val="24"/>
                <w:lang w:eastAsia="en-US"/>
              </w:rPr>
              <w:t>га</w:t>
            </w:r>
          </w:p>
        </w:tc>
        <w:tc>
          <w:tcPr>
            <w:tcW w:w="2126" w:type="dxa"/>
            <w:vAlign w:val="center"/>
          </w:tcPr>
          <w:p>
            <w:pPr>
              <w:pStyle w:val="87"/>
              <w:jc w:val="center"/>
              <w:rPr>
                <w:sz w:val="24"/>
                <w:szCs w:val="24"/>
                <w:lang w:eastAsia="en-US"/>
              </w:rPr>
            </w:pPr>
            <w:r>
              <w:rPr>
                <w:sz w:val="24"/>
                <w:szCs w:val="24"/>
                <w:lang w:eastAsia="en-US"/>
              </w:rPr>
              <w:t>18,11</w:t>
            </w:r>
          </w:p>
        </w:tc>
        <w:tc>
          <w:tcPr>
            <w:tcW w:w="1417" w:type="dxa"/>
            <w:vAlign w:val="center"/>
          </w:tcPr>
          <w:p>
            <w:pPr>
              <w:pStyle w:val="87"/>
              <w:jc w:val="center"/>
              <w:rPr>
                <w:sz w:val="24"/>
                <w:szCs w:val="24"/>
                <w:lang w:eastAsia="en-US"/>
              </w:rPr>
            </w:pPr>
            <w:r>
              <w:rPr>
                <w:sz w:val="24"/>
                <w:szCs w:val="24"/>
                <w:lang w:eastAsia="en-US"/>
              </w:rPr>
              <w:t>18,74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0" w:type="dxa"/>
            <w:vAlign w:val="center"/>
          </w:tcPr>
          <w:p>
            <w:pPr>
              <w:pStyle w:val="87"/>
              <w:jc w:val="center"/>
              <w:rPr>
                <w:sz w:val="24"/>
                <w:szCs w:val="24"/>
                <w:lang w:eastAsia="en-US"/>
              </w:rPr>
            </w:pPr>
            <w:r>
              <w:rPr>
                <w:sz w:val="24"/>
                <w:szCs w:val="24"/>
                <w:lang w:eastAsia="en-US"/>
              </w:rPr>
              <w:t>3</w:t>
            </w:r>
          </w:p>
        </w:tc>
        <w:tc>
          <w:tcPr>
            <w:tcW w:w="3968" w:type="dxa"/>
            <w:vAlign w:val="center"/>
          </w:tcPr>
          <w:p>
            <w:pPr>
              <w:pStyle w:val="87"/>
              <w:rPr>
                <w:sz w:val="24"/>
                <w:szCs w:val="24"/>
                <w:lang w:eastAsia="en-US"/>
              </w:rPr>
            </w:pPr>
            <w:r>
              <w:rPr>
                <w:sz w:val="24"/>
                <w:szCs w:val="24"/>
                <w:lang w:eastAsia="en-US"/>
              </w:rPr>
              <w:t>Производственная зона</w:t>
            </w:r>
          </w:p>
        </w:tc>
        <w:tc>
          <w:tcPr>
            <w:tcW w:w="993" w:type="dxa"/>
            <w:vAlign w:val="center"/>
          </w:tcPr>
          <w:p>
            <w:pPr>
              <w:pStyle w:val="87"/>
              <w:jc w:val="center"/>
              <w:rPr>
                <w:sz w:val="24"/>
                <w:szCs w:val="24"/>
                <w:lang w:eastAsia="en-US"/>
              </w:rPr>
            </w:pPr>
            <w:r>
              <w:rPr>
                <w:sz w:val="24"/>
                <w:szCs w:val="24"/>
                <w:lang w:eastAsia="en-US"/>
              </w:rPr>
              <w:t>га</w:t>
            </w:r>
          </w:p>
        </w:tc>
        <w:tc>
          <w:tcPr>
            <w:tcW w:w="2126" w:type="dxa"/>
            <w:vAlign w:val="center"/>
          </w:tcPr>
          <w:p>
            <w:pPr>
              <w:pStyle w:val="87"/>
              <w:jc w:val="center"/>
              <w:rPr>
                <w:sz w:val="24"/>
                <w:szCs w:val="24"/>
                <w:lang w:eastAsia="en-US"/>
              </w:rPr>
            </w:pPr>
            <w:r>
              <w:rPr>
                <w:sz w:val="24"/>
                <w:szCs w:val="24"/>
                <w:lang w:eastAsia="en-US"/>
              </w:rPr>
              <w:t>10,52</w:t>
            </w:r>
          </w:p>
        </w:tc>
        <w:tc>
          <w:tcPr>
            <w:tcW w:w="1417" w:type="dxa"/>
            <w:vAlign w:val="center"/>
          </w:tcPr>
          <w:p>
            <w:pPr>
              <w:pStyle w:val="87"/>
              <w:jc w:val="center"/>
              <w:rPr>
                <w:sz w:val="24"/>
                <w:szCs w:val="24"/>
                <w:lang w:eastAsia="en-US"/>
              </w:rPr>
            </w:pPr>
            <w:r>
              <w:rPr>
                <w:sz w:val="24"/>
                <w:szCs w:val="24"/>
                <w:lang w:eastAsia="en-US"/>
              </w:rPr>
              <w:t>10,52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0" w:type="dxa"/>
            <w:vAlign w:val="center"/>
          </w:tcPr>
          <w:p>
            <w:pPr>
              <w:pStyle w:val="87"/>
              <w:jc w:val="center"/>
              <w:rPr>
                <w:sz w:val="24"/>
                <w:szCs w:val="24"/>
                <w:lang w:eastAsia="en-US"/>
              </w:rPr>
            </w:pPr>
            <w:r>
              <w:rPr>
                <w:sz w:val="24"/>
                <w:szCs w:val="24"/>
                <w:lang w:eastAsia="en-US"/>
              </w:rPr>
              <w:t>4</w:t>
            </w:r>
          </w:p>
        </w:tc>
        <w:tc>
          <w:tcPr>
            <w:tcW w:w="3968" w:type="dxa"/>
            <w:vAlign w:val="center"/>
          </w:tcPr>
          <w:p>
            <w:pPr>
              <w:pStyle w:val="87"/>
              <w:rPr>
                <w:sz w:val="24"/>
                <w:szCs w:val="24"/>
                <w:lang w:eastAsia="en-US"/>
              </w:rPr>
            </w:pPr>
            <w:r>
              <w:rPr>
                <w:sz w:val="24"/>
                <w:szCs w:val="24"/>
                <w:lang w:eastAsia="en-US"/>
              </w:rPr>
              <w:t>Зона транспортной и инженерной  инфраструктур</w:t>
            </w:r>
          </w:p>
        </w:tc>
        <w:tc>
          <w:tcPr>
            <w:tcW w:w="993" w:type="dxa"/>
            <w:vAlign w:val="center"/>
          </w:tcPr>
          <w:p>
            <w:pPr>
              <w:pStyle w:val="87"/>
              <w:jc w:val="center"/>
              <w:rPr>
                <w:sz w:val="24"/>
                <w:szCs w:val="24"/>
                <w:lang w:eastAsia="en-US"/>
              </w:rPr>
            </w:pPr>
            <w:r>
              <w:rPr>
                <w:sz w:val="24"/>
                <w:szCs w:val="24"/>
                <w:lang w:eastAsia="en-US"/>
              </w:rPr>
              <w:t>га</w:t>
            </w:r>
          </w:p>
        </w:tc>
        <w:tc>
          <w:tcPr>
            <w:tcW w:w="2126" w:type="dxa"/>
            <w:vAlign w:val="center"/>
          </w:tcPr>
          <w:p>
            <w:pPr>
              <w:pStyle w:val="87"/>
              <w:jc w:val="center"/>
              <w:rPr>
                <w:sz w:val="24"/>
                <w:szCs w:val="24"/>
                <w:lang w:eastAsia="en-US"/>
              </w:rPr>
            </w:pPr>
            <w:r>
              <w:rPr>
                <w:sz w:val="24"/>
                <w:szCs w:val="24"/>
                <w:lang w:eastAsia="en-US"/>
              </w:rPr>
              <w:t>46,92</w:t>
            </w:r>
          </w:p>
        </w:tc>
        <w:tc>
          <w:tcPr>
            <w:tcW w:w="1417" w:type="dxa"/>
            <w:vAlign w:val="center"/>
          </w:tcPr>
          <w:p>
            <w:pPr>
              <w:pStyle w:val="87"/>
              <w:jc w:val="center"/>
              <w:rPr>
                <w:sz w:val="24"/>
                <w:szCs w:val="24"/>
                <w:lang w:eastAsia="en-US"/>
              </w:rPr>
            </w:pPr>
            <w:r>
              <w:rPr>
                <w:sz w:val="24"/>
                <w:szCs w:val="24"/>
                <w:lang w:eastAsia="en-US"/>
              </w:rPr>
              <w:t>46,92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0" w:type="dxa"/>
            <w:vAlign w:val="center"/>
          </w:tcPr>
          <w:p>
            <w:pPr>
              <w:pStyle w:val="87"/>
              <w:jc w:val="center"/>
              <w:rPr>
                <w:sz w:val="24"/>
                <w:szCs w:val="24"/>
                <w:lang w:eastAsia="en-US"/>
              </w:rPr>
            </w:pPr>
            <w:r>
              <w:rPr>
                <w:sz w:val="24"/>
                <w:szCs w:val="24"/>
                <w:lang w:eastAsia="en-US"/>
              </w:rPr>
              <w:t>5</w:t>
            </w:r>
          </w:p>
        </w:tc>
        <w:tc>
          <w:tcPr>
            <w:tcW w:w="3968" w:type="dxa"/>
            <w:vAlign w:val="center"/>
          </w:tcPr>
          <w:p>
            <w:pPr>
              <w:pStyle w:val="87"/>
              <w:rPr>
                <w:sz w:val="24"/>
                <w:szCs w:val="24"/>
                <w:lang w:eastAsia="en-US"/>
              </w:rPr>
            </w:pPr>
            <w:r>
              <w:rPr>
                <w:sz w:val="24"/>
                <w:szCs w:val="24"/>
                <w:lang w:eastAsia="en-US"/>
              </w:rPr>
              <w:t>Рекреационная зона</w:t>
            </w:r>
          </w:p>
        </w:tc>
        <w:tc>
          <w:tcPr>
            <w:tcW w:w="993" w:type="dxa"/>
            <w:vAlign w:val="center"/>
          </w:tcPr>
          <w:p>
            <w:pPr>
              <w:pStyle w:val="87"/>
              <w:jc w:val="center"/>
              <w:rPr>
                <w:sz w:val="24"/>
                <w:szCs w:val="24"/>
                <w:lang w:eastAsia="en-US"/>
              </w:rPr>
            </w:pPr>
            <w:r>
              <w:rPr>
                <w:sz w:val="24"/>
                <w:szCs w:val="24"/>
                <w:lang w:eastAsia="en-US"/>
              </w:rPr>
              <w:t>га</w:t>
            </w:r>
          </w:p>
        </w:tc>
        <w:tc>
          <w:tcPr>
            <w:tcW w:w="2126" w:type="dxa"/>
            <w:vAlign w:val="center"/>
          </w:tcPr>
          <w:p>
            <w:pPr>
              <w:pStyle w:val="87"/>
              <w:jc w:val="center"/>
              <w:rPr>
                <w:sz w:val="24"/>
                <w:szCs w:val="24"/>
                <w:lang w:eastAsia="en-US"/>
              </w:rPr>
            </w:pPr>
            <w:r>
              <w:rPr>
                <w:sz w:val="24"/>
                <w:szCs w:val="24"/>
                <w:lang w:eastAsia="en-US"/>
              </w:rPr>
              <w:t>46,00</w:t>
            </w:r>
          </w:p>
        </w:tc>
        <w:tc>
          <w:tcPr>
            <w:tcW w:w="1417" w:type="dxa"/>
            <w:vAlign w:val="center"/>
          </w:tcPr>
          <w:p>
            <w:pPr>
              <w:pStyle w:val="87"/>
              <w:jc w:val="center"/>
              <w:rPr>
                <w:sz w:val="24"/>
                <w:szCs w:val="24"/>
                <w:lang w:eastAsia="en-US"/>
              </w:rPr>
            </w:pPr>
            <w:r>
              <w:rPr>
                <w:sz w:val="24"/>
                <w:szCs w:val="24"/>
                <w:lang w:eastAsia="en-US"/>
              </w:rPr>
              <w:t>46,00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0" w:type="dxa"/>
            <w:vAlign w:val="center"/>
          </w:tcPr>
          <w:p>
            <w:pPr>
              <w:pStyle w:val="87"/>
              <w:jc w:val="center"/>
              <w:rPr>
                <w:sz w:val="24"/>
                <w:szCs w:val="24"/>
                <w:lang w:eastAsia="en-US"/>
              </w:rPr>
            </w:pPr>
            <w:r>
              <w:rPr>
                <w:sz w:val="24"/>
                <w:szCs w:val="24"/>
                <w:lang w:eastAsia="en-US"/>
              </w:rPr>
              <w:t>6</w:t>
            </w:r>
          </w:p>
        </w:tc>
        <w:tc>
          <w:tcPr>
            <w:tcW w:w="3968" w:type="dxa"/>
            <w:vAlign w:val="center"/>
          </w:tcPr>
          <w:p>
            <w:pPr>
              <w:pStyle w:val="87"/>
              <w:rPr>
                <w:sz w:val="24"/>
                <w:szCs w:val="24"/>
                <w:lang w:eastAsia="en-US"/>
              </w:rPr>
            </w:pPr>
            <w:r>
              <w:rPr>
                <w:sz w:val="24"/>
                <w:szCs w:val="24"/>
                <w:lang w:eastAsia="en-US"/>
              </w:rPr>
              <w:t>Зона сельскохозяйственного использования</w:t>
            </w:r>
          </w:p>
        </w:tc>
        <w:tc>
          <w:tcPr>
            <w:tcW w:w="993" w:type="dxa"/>
            <w:vAlign w:val="center"/>
          </w:tcPr>
          <w:p>
            <w:pPr>
              <w:pStyle w:val="87"/>
              <w:jc w:val="center"/>
              <w:rPr>
                <w:sz w:val="24"/>
                <w:szCs w:val="24"/>
                <w:lang w:eastAsia="en-US"/>
              </w:rPr>
            </w:pPr>
            <w:r>
              <w:rPr>
                <w:sz w:val="24"/>
                <w:szCs w:val="24"/>
                <w:lang w:eastAsia="en-US"/>
              </w:rPr>
              <w:t>га</w:t>
            </w:r>
          </w:p>
        </w:tc>
        <w:tc>
          <w:tcPr>
            <w:tcW w:w="2126" w:type="dxa"/>
            <w:vAlign w:val="center"/>
          </w:tcPr>
          <w:p>
            <w:pPr>
              <w:pStyle w:val="87"/>
              <w:jc w:val="center"/>
              <w:rPr>
                <w:sz w:val="24"/>
                <w:szCs w:val="24"/>
                <w:lang w:eastAsia="en-US"/>
              </w:rPr>
            </w:pPr>
            <w:r>
              <w:rPr>
                <w:sz w:val="24"/>
                <w:szCs w:val="24"/>
                <w:lang w:eastAsia="en-US"/>
              </w:rPr>
              <w:t>41,80</w:t>
            </w:r>
          </w:p>
        </w:tc>
        <w:tc>
          <w:tcPr>
            <w:tcW w:w="1417" w:type="dxa"/>
            <w:vAlign w:val="center"/>
          </w:tcPr>
          <w:p>
            <w:pPr>
              <w:pStyle w:val="87"/>
              <w:jc w:val="center"/>
              <w:rPr>
                <w:sz w:val="24"/>
                <w:szCs w:val="24"/>
                <w:lang w:eastAsia="en-US"/>
              </w:rPr>
            </w:pPr>
            <w:r>
              <w:rPr>
                <w:sz w:val="24"/>
                <w:szCs w:val="24"/>
                <w:lang w:eastAsia="en-US"/>
              </w:rPr>
              <w:t>159,58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trPr>
        <w:tc>
          <w:tcPr>
            <w:tcW w:w="710" w:type="dxa"/>
            <w:vAlign w:val="center"/>
          </w:tcPr>
          <w:p>
            <w:pPr>
              <w:pStyle w:val="87"/>
              <w:jc w:val="center"/>
              <w:rPr>
                <w:sz w:val="24"/>
                <w:szCs w:val="24"/>
                <w:lang w:eastAsia="en-US"/>
              </w:rPr>
            </w:pPr>
            <w:r>
              <w:rPr>
                <w:sz w:val="24"/>
                <w:szCs w:val="24"/>
                <w:lang w:eastAsia="en-US"/>
              </w:rPr>
              <w:t>7</w:t>
            </w:r>
          </w:p>
        </w:tc>
        <w:tc>
          <w:tcPr>
            <w:tcW w:w="3968" w:type="dxa"/>
            <w:vAlign w:val="center"/>
          </w:tcPr>
          <w:p>
            <w:pPr>
              <w:pStyle w:val="87"/>
              <w:rPr>
                <w:sz w:val="24"/>
                <w:szCs w:val="24"/>
                <w:lang w:eastAsia="en-US"/>
              </w:rPr>
            </w:pPr>
            <w:r>
              <w:rPr>
                <w:sz w:val="24"/>
                <w:szCs w:val="24"/>
                <w:lang w:eastAsia="en-US"/>
              </w:rPr>
              <w:t>Зона специального назначения</w:t>
            </w:r>
          </w:p>
        </w:tc>
        <w:tc>
          <w:tcPr>
            <w:tcW w:w="993" w:type="dxa"/>
            <w:vAlign w:val="center"/>
          </w:tcPr>
          <w:p>
            <w:pPr>
              <w:pStyle w:val="87"/>
              <w:jc w:val="center"/>
              <w:rPr>
                <w:sz w:val="24"/>
                <w:szCs w:val="24"/>
                <w:lang w:eastAsia="en-US"/>
              </w:rPr>
            </w:pPr>
            <w:r>
              <w:rPr>
                <w:sz w:val="24"/>
                <w:szCs w:val="24"/>
                <w:lang w:eastAsia="en-US"/>
              </w:rPr>
              <w:t>га</w:t>
            </w:r>
          </w:p>
        </w:tc>
        <w:tc>
          <w:tcPr>
            <w:tcW w:w="2126" w:type="dxa"/>
            <w:vAlign w:val="center"/>
          </w:tcPr>
          <w:p>
            <w:pPr>
              <w:pStyle w:val="87"/>
              <w:jc w:val="center"/>
              <w:rPr>
                <w:sz w:val="24"/>
                <w:szCs w:val="24"/>
                <w:lang w:eastAsia="en-US"/>
              </w:rPr>
            </w:pPr>
            <w:r>
              <w:rPr>
                <w:sz w:val="24"/>
                <w:szCs w:val="24"/>
                <w:lang w:eastAsia="en-US"/>
              </w:rPr>
              <w:t>41,80</w:t>
            </w:r>
          </w:p>
        </w:tc>
        <w:tc>
          <w:tcPr>
            <w:tcW w:w="1417" w:type="dxa"/>
            <w:vAlign w:val="center"/>
          </w:tcPr>
          <w:p>
            <w:pPr>
              <w:pStyle w:val="87"/>
              <w:jc w:val="center"/>
              <w:rPr>
                <w:sz w:val="24"/>
                <w:szCs w:val="24"/>
                <w:lang w:eastAsia="en-US"/>
              </w:rPr>
            </w:pPr>
            <w:r>
              <w:rPr>
                <w:sz w:val="24"/>
                <w:szCs w:val="24"/>
                <w:lang w:eastAsia="en-US"/>
              </w:rPr>
              <w:t>14,14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0" w:type="dxa"/>
            <w:vAlign w:val="center"/>
          </w:tcPr>
          <w:p>
            <w:pPr>
              <w:pStyle w:val="87"/>
              <w:jc w:val="center"/>
              <w:rPr>
                <w:sz w:val="24"/>
                <w:szCs w:val="24"/>
                <w:lang w:eastAsia="en-US"/>
              </w:rPr>
            </w:pPr>
          </w:p>
        </w:tc>
        <w:tc>
          <w:tcPr>
            <w:tcW w:w="3968" w:type="dxa"/>
            <w:vAlign w:val="center"/>
          </w:tcPr>
          <w:p>
            <w:pPr>
              <w:pStyle w:val="87"/>
              <w:rPr>
                <w:sz w:val="24"/>
                <w:szCs w:val="24"/>
                <w:lang w:eastAsia="en-US"/>
              </w:rPr>
            </w:pPr>
            <w:r>
              <w:rPr>
                <w:sz w:val="24"/>
                <w:szCs w:val="24"/>
                <w:lang w:eastAsia="en-US"/>
              </w:rPr>
              <w:t>Итого:</w:t>
            </w:r>
          </w:p>
        </w:tc>
        <w:tc>
          <w:tcPr>
            <w:tcW w:w="993" w:type="dxa"/>
            <w:vAlign w:val="center"/>
          </w:tcPr>
          <w:p>
            <w:pPr>
              <w:pStyle w:val="87"/>
              <w:jc w:val="center"/>
              <w:rPr>
                <w:sz w:val="24"/>
                <w:szCs w:val="24"/>
                <w:lang w:eastAsia="en-US"/>
              </w:rPr>
            </w:pPr>
          </w:p>
        </w:tc>
        <w:tc>
          <w:tcPr>
            <w:tcW w:w="2126" w:type="dxa"/>
            <w:vAlign w:val="center"/>
          </w:tcPr>
          <w:p>
            <w:pPr>
              <w:pStyle w:val="87"/>
              <w:jc w:val="center"/>
              <w:rPr>
                <w:sz w:val="24"/>
                <w:szCs w:val="24"/>
                <w:lang w:eastAsia="en-US"/>
              </w:rPr>
            </w:pPr>
            <w:r>
              <w:rPr>
                <w:sz w:val="24"/>
                <w:szCs w:val="24"/>
                <w:lang w:eastAsia="en-US"/>
              </w:rPr>
              <w:t>463</w:t>
            </w:r>
          </w:p>
        </w:tc>
        <w:tc>
          <w:tcPr>
            <w:tcW w:w="1417" w:type="dxa"/>
            <w:vAlign w:val="center"/>
          </w:tcPr>
          <w:p>
            <w:pPr>
              <w:pStyle w:val="87"/>
              <w:jc w:val="center"/>
              <w:rPr>
                <w:sz w:val="24"/>
                <w:szCs w:val="24"/>
                <w:lang w:eastAsia="en-US"/>
              </w:rPr>
            </w:pPr>
            <w:r>
              <w:rPr>
                <w:sz w:val="24"/>
                <w:szCs w:val="24"/>
                <w:lang w:eastAsia="en-US"/>
              </w:rPr>
              <w:t>403,69</w:t>
            </w:r>
          </w:p>
        </w:tc>
      </w:tr>
    </w:tbl>
    <w:p>
      <w:pPr>
        <w:suppressAutoHyphens w:val="0"/>
        <w:autoSpaceDN/>
        <w:ind w:firstLine="567"/>
        <w:jc w:val="both"/>
        <w:textAlignment w:val="auto"/>
        <w:rPr>
          <w:lang w:eastAsia="en-US"/>
        </w:rPr>
      </w:pPr>
    </w:p>
    <w:p>
      <w:pPr>
        <w:suppressAutoHyphens w:val="0"/>
        <w:autoSpaceDN/>
        <w:ind w:firstLine="567"/>
        <w:jc w:val="both"/>
        <w:textAlignment w:val="auto"/>
        <w:rPr>
          <w:sz w:val="28"/>
          <w:szCs w:val="28"/>
          <w:lang w:eastAsia="en-US"/>
        </w:rPr>
      </w:pPr>
      <w:r>
        <w:rPr>
          <w:sz w:val="28"/>
          <w:szCs w:val="28"/>
          <w:lang w:eastAsia="en-US"/>
        </w:rPr>
        <w:t>Схемой территориального планирования Чернышковского муниципального района Волгоградской области, утвержденной  решением Чернышковской районной Думы,  предусматривается газификация населенных пунктов, как развитие межпоселковой сети, как объекта местного значения.</w:t>
      </w:r>
    </w:p>
    <w:p>
      <w:pPr>
        <w:suppressAutoHyphens w:val="0"/>
        <w:autoSpaceDN/>
        <w:ind w:firstLine="567"/>
        <w:jc w:val="both"/>
        <w:textAlignment w:val="auto"/>
        <w:rPr>
          <w:sz w:val="28"/>
          <w:szCs w:val="28"/>
          <w:lang w:eastAsia="en-US"/>
        </w:rPr>
      </w:pPr>
      <w:r>
        <w:rPr>
          <w:sz w:val="28"/>
          <w:szCs w:val="28"/>
          <w:lang w:eastAsia="en-US"/>
        </w:rPr>
        <w:t>Документами территориального планирования Российской Федерации и Волгоградской области размещение объектов федерального и регионального значения на территории хутора Тормосин</w:t>
      </w:r>
      <w:r>
        <w:rPr>
          <w:color w:val="000000"/>
          <w:sz w:val="28"/>
          <w:szCs w:val="28"/>
        </w:rPr>
        <w:t xml:space="preserve"> </w:t>
      </w:r>
      <w:r>
        <w:rPr>
          <w:sz w:val="28"/>
          <w:szCs w:val="28"/>
          <w:lang w:eastAsia="en-US"/>
        </w:rPr>
        <w:t>не предусмотрено.</w:t>
      </w:r>
    </w:p>
    <w:p>
      <w:pPr>
        <w:suppressAutoHyphens w:val="0"/>
        <w:autoSpaceDN/>
        <w:ind w:firstLine="567"/>
        <w:jc w:val="both"/>
        <w:textAlignment w:val="auto"/>
        <w:rPr>
          <w:sz w:val="28"/>
          <w:szCs w:val="28"/>
          <w:lang w:eastAsia="en-US"/>
        </w:rPr>
      </w:pPr>
      <w:r>
        <w:rPr>
          <w:color w:val="000000"/>
          <w:sz w:val="28"/>
          <w:szCs w:val="28"/>
          <w:lang w:eastAsia="en-US"/>
        </w:rPr>
        <w:t xml:space="preserve">Уточнена граница населенного пункта по результатам сложившегося землепользования. </w:t>
      </w:r>
      <w:r>
        <w:rPr>
          <w:sz w:val="28"/>
          <w:szCs w:val="28"/>
          <w:lang w:eastAsia="en-US"/>
        </w:rPr>
        <w:t>В состав населенного пункта хутора Тормосин</w:t>
      </w:r>
      <w:r>
        <w:rPr>
          <w:color w:val="000000"/>
          <w:sz w:val="28"/>
          <w:szCs w:val="28"/>
        </w:rPr>
        <w:t xml:space="preserve"> </w:t>
      </w:r>
      <w:r>
        <w:rPr>
          <w:sz w:val="28"/>
          <w:szCs w:val="28"/>
          <w:lang w:eastAsia="en-US"/>
        </w:rPr>
        <w:t xml:space="preserve">предполагается включение  земельных участков из категории земель сельскохозяйственного назначения. </w:t>
      </w:r>
    </w:p>
    <w:p>
      <w:pPr>
        <w:suppressAutoHyphens w:val="0"/>
        <w:autoSpaceDN/>
        <w:ind w:firstLine="567"/>
        <w:jc w:val="both"/>
        <w:textAlignment w:val="auto"/>
        <w:rPr>
          <w:color w:val="000000"/>
          <w:sz w:val="28"/>
          <w:szCs w:val="28"/>
          <w:lang w:eastAsia="en-US"/>
        </w:rPr>
      </w:pPr>
      <w:r>
        <w:rPr>
          <w:color w:val="000000"/>
          <w:sz w:val="28"/>
          <w:szCs w:val="28"/>
          <w:lang w:eastAsia="en-US"/>
        </w:rPr>
        <w:t>Новая граница не затрагивает земельные участки, поставленные на кадастровый учет и устанавливается за счет перевода земель сельскохозяйственного назначения в земли поселения.</w:t>
      </w:r>
    </w:p>
    <w:p>
      <w:pPr>
        <w:suppressAutoHyphens w:val="0"/>
        <w:autoSpaceDN/>
        <w:ind w:firstLine="567"/>
        <w:jc w:val="both"/>
        <w:textAlignment w:val="auto"/>
        <w:rPr>
          <w:color w:val="000000"/>
          <w:sz w:val="28"/>
          <w:szCs w:val="28"/>
          <w:lang w:eastAsia="en-US"/>
        </w:rPr>
      </w:pPr>
    </w:p>
    <w:p>
      <w:pPr>
        <w:suppressAutoHyphens w:val="0"/>
        <w:autoSpaceDN/>
        <w:ind w:firstLine="567"/>
        <w:jc w:val="center"/>
        <w:textAlignment w:val="auto"/>
        <w:rPr>
          <w:i/>
          <w:sz w:val="28"/>
          <w:szCs w:val="28"/>
          <w:lang w:eastAsia="en-US"/>
        </w:rPr>
      </w:pPr>
      <w:r>
        <w:rPr>
          <w:i/>
          <w:sz w:val="28"/>
          <w:szCs w:val="28"/>
          <w:lang w:eastAsia="en-US"/>
        </w:rPr>
        <w:t>Параметры функциональных зон по генеральному плану</w:t>
      </w:r>
    </w:p>
    <w:p>
      <w:pPr>
        <w:suppressAutoHyphens w:val="0"/>
        <w:autoSpaceDN/>
        <w:ind w:firstLine="567"/>
        <w:jc w:val="both"/>
        <w:textAlignment w:val="auto"/>
        <w:rPr>
          <w:sz w:val="28"/>
          <w:szCs w:val="28"/>
          <w:lang w:eastAsia="en-US"/>
        </w:rPr>
      </w:pPr>
    </w:p>
    <w:tbl>
      <w:tblPr>
        <w:tblStyle w:val="28"/>
        <w:tblW w:w="9387" w:type="dxa"/>
        <w:tblInd w:w="36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57"/>
        <w:gridCol w:w="3544"/>
        <w:gridCol w:w="1984"/>
        <w:gridCol w:w="1701"/>
        <w:gridCol w:w="17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3" w:hRule="atLeast"/>
        </w:trPr>
        <w:tc>
          <w:tcPr>
            <w:tcW w:w="457" w:type="dxa"/>
            <w:vMerge w:val="restart"/>
            <w:vAlign w:val="center"/>
          </w:tcPr>
          <w:p>
            <w:pPr>
              <w:pStyle w:val="87"/>
              <w:jc w:val="center"/>
              <w:rPr>
                <w:sz w:val="24"/>
                <w:szCs w:val="24"/>
                <w:lang w:eastAsia="en-US"/>
              </w:rPr>
            </w:pPr>
            <w:r>
              <w:rPr>
                <w:sz w:val="24"/>
                <w:szCs w:val="24"/>
                <w:lang w:eastAsia="en-US"/>
              </w:rPr>
              <w:t>№</w:t>
            </w:r>
          </w:p>
          <w:p>
            <w:pPr>
              <w:pStyle w:val="87"/>
              <w:jc w:val="center"/>
              <w:rPr>
                <w:sz w:val="24"/>
                <w:szCs w:val="24"/>
                <w:lang w:eastAsia="en-US"/>
              </w:rPr>
            </w:pPr>
          </w:p>
        </w:tc>
        <w:tc>
          <w:tcPr>
            <w:tcW w:w="3544" w:type="dxa"/>
            <w:vMerge w:val="restart"/>
            <w:vAlign w:val="center"/>
          </w:tcPr>
          <w:p>
            <w:pPr>
              <w:pStyle w:val="87"/>
              <w:jc w:val="center"/>
              <w:rPr>
                <w:sz w:val="24"/>
                <w:szCs w:val="24"/>
                <w:lang w:eastAsia="en-US"/>
              </w:rPr>
            </w:pPr>
            <w:r>
              <w:rPr>
                <w:sz w:val="24"/>
                <w:szCs w:val="24"/>
                <w:lang w:eastAsia="en-US"/>
              </w:rPr>
              <w:t>Наименование функциональных зон</w:t>
            </w:r>
          </w:p>
        </w:tc>
        <w:tc>
          <w:tcPr>
            <w:tcW w:w="3685" w:type="dxa"/>
            <w:gridSpan w:val="2"/>
            <w:vAlign w:val="center"/>
          </w:tcPr>
          <w:p>
            <w:pPr>
              <w:pStyle w:val="87"/>
              <w:jc w:val="center"/>
              <w:rPr>
                <w:sz w:val="24"/>
                <w:szCs w:val="24"/>
                <w:lang w:eastAsia="en-US"/>
              </w:rPr>
            </w:pPr>
            <w:r>
              <w:rPr>
                <w:sz w:val="24"/>
                <w:szCs w:val="24"/>
                <w:lang w:eastAsia="en-US"/>
              </w:rPr>
              <w:t>Площадь на расчетный срок</w:t>
            </w:r>
          </w:p>
        </w:tc>
        <w:tc>
          <w:tcPr>
            <w:tcW w:w="1701" w:type="dxa"/>
            <w:vMerge w:val="restart"/>
            <w:vAlign w:val="center"/>
          </w:tcPr>
          <w:p>
            <w:pPr>
              <w:pStyle w:val="87"/>
              <w:jc w:val="center"/>
              <w:rPr>
                <w:sz w:val="24"/>
                <w:szCs w:val="24"/>
                <w:lang w:eastAsia="en-US"/>
              </w:rPr>
            </w:pPr>
            <w:r>
              <w:rPr>
                <w:sz w:val="24"/>
                <w:szCs w:val="24"/>
                <w:lang w:eastAsia="en-US"/>
              </w:rPr>
              <w:t>Параметры</w:t>
            </w:r>
          </w:p>
          <w:p>
            <w:pPr>
              <w:pStyle w:val="87"/>
              <w:jc w:val="center"/>
              <w:rPr>
                <w:sz w:val="24"/>
                <w:szCs w:val="24"/>
                <w:lang w:eastAsia="en-US"/>
              </w:rPr>
            </w:pPr>
          </w:p>
          <w:p>
            <w:pPr>
              <w:pStyle w:val="87"/>
              <w:jc w:val="center"/>
              <w:rPr>
                <w:sz w:val="24"/>
                <w:szCs w:val="24"/>
                <w:lang w:eastAsia="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3" w:hRule="atLeast"/>
        </w:trPr>
        <w:tc>
          <w:tcPr>
            <w:tcW w:w="457" w:type="dxa"/>
            <w:vMerge w:val="continue"/>
            <w:vAlign w:val="center"/>
          </w:tcPr>
          <w:p>
            <w:pPr>
              <w:pStyle w:val="87"/>
              <w:jc w:val="center"/>
              <w:rPr>
                <w:sz w:val="24"/>
                <w:szCs w:val="24"/>
                <w:lang w:eastAsia="en-US"/>
              </w:rPr>
            </w:pPr>
          </w:p>
        </w:tc>
        <w:tc>
          <w:tcPr>
            <w:tcW w:w="3544" w:type="dxa"/>
            <w:vMerge w:val="continue"/>
            <w:vAlign w:val="center"/>
          </w:tcPr>
          <w:p>
            <w:pPr>
              <w:pStyle w:val="87"/>
              <w:jc w:val="center"/>
              <w:rPr>
                <w:sz w:val="24"/>
                <w:szCs w:val="24"/>
                <w:lang w:eastAsia="en-US"/>
              </w:rPr>
            </w:pPr>
          </w:p>
        </w:tc>
        <w:tc>
          <w:tcPr>
            <w:tcW w:w="1984" w:type="dxa"/>
            <w:vAlign w:val="center"/>
          </w:tcPr>
          <w:p>
            <w:pPr>
              <w:pStyle w:val="87"/>
              <w:jc w:val="center"/>
              <w:rPr>
                <w:sz w:val="24"/>
                <w:szCs w:val="24"/>
                <w:lang w:eastAsia="en-US"/>
              </w:rPr>
            </w:pPr>
            <w:r>
              <w:rPr>
                <w:sz w:val="24"/>
                <w:szCs w:val="24"/>
                <w:lang w:eastAsia="en-US"/>
              </w:rPr>
              <w:t>га</w:t>
            </w:r>
          </w:p>
        </w:tc>
        <w:tc>
          <w:tcPr>
            <w:tcW w:w="1701" w:type="dxa"/>
            <w:vAlign w:val="center"/>
          </w:tcPr>
          <w:p>
            <w:pPr>
              <w:pStyle w:val="87"/>
              <w:jc w:val="center"/>
              <w:rPr>
                <w:sz w:val="24"/>
                <w:szCs w:val="24"/>
                <w:lang w:eastAsia="en-US"/>
              </w:rPr>
            </w:pPr>
            <w:r>
              <w:rPr>
                <w:sz w:val="24"/>
                <w:szCs w:val="24"/>
                <w:lang w:eastAsia="en-US"/>
              </w:rPr>
              <w:t>%</w:t>
            </w:r>
          </w:p>
        </w:tc>
        <w:tc>
          <w:tcPr>
            <w:tcW w:w="1701" w:type="dxa"/>
            <w:vMerge w:val="continue"/>
            <w:vAlign w:val="center"/>
          </w:tcPr>
          <w:p>
            <w:pPr>
              <w:pStyle w:val="87"/>
              <w:jc w:val="center"/>
              <w:rPr>
                <w:sz w:val="24"/>
                <w:szCs w:val="24"/>
                <w:lang w:eastAsia="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57" w:type="dxa"/>
            <w:vAlign w:val="center"/>
          </w:tcPr>
          <w:p>
            <w:pPr>
              <w:pStyle w:val="87"/>
              <w:jc w:val="center"/>
              <w:rPr>
                <w:sz w:val="24"/>
                <w:szCs w:val="24"/>
                <w:lang w:eastAsia="en-US"/>
              </w:rPr>
            </w:pPr>
            <w:r>
              <w:rPr>
                <w:sz w:val="24"/>
                <w:szCs w:val="24"/>
                <w:lang w:eastAsia="en-US"/>
              </w:rPr>
              <w:t>1.</w:t>
            </w:r>
          </w:p>
        </w:tc>
        <w:tc>
          <w:tcPr>
            <w:tcW w:w="3544" w:type="dxa"/>
            <w:vAlign w:val="center"/>
          </w:tcPr>
          <w:p>
            <w:pPr>
              <w:pStyle w:val="87"/>
              <w:rPr>
                <w:sz w:val="24"/>
                <w:szCs w:val="24"/>
                <w:lang w:eastAsia="en-US"/>
              </w:rPr>
            </w:pPr>
            <w:r>
              <w:rPr>
                <w:sz w:val="24"/>
                <w:szCs w:val="24"/>
                <w:lang w:eastAsia="en-US"/>
              </w:rPr>
              <w:t>Жилая зона</w:t>
            </w:r>
          </w:p>
        </w:tc>
        <w:tc>
          <w:tcPr>
            <w:tcW w:w="1984" w:type="dxa"/>
            <w:vAlign w:val="center"/>
          </w:tcPr>
          <w:p>
            <w:pPr>
              <w:pStyle w:val="87"/>
              <w:jc w:val="center"/>
              <w:rPr>
                <w:sz w:val="24"/>
                <w:szCs w:val="24"/>
                <w:lang w:eastAsia="en-US"/>
              </w:rPr>
            </w:pPr>
            <w:r>
              <w:rPr>
                <w:sz w:val="24"/>
                <w:szCs w:val="24"/>
                <w:lang w:eastAsia="en-US"/>
              </w:rPr>
              <w:t>444,50</w:t>
            </w:r>
          </w:p>
        </w:tc>
        <w:tc>
          <w:tcPr>
            <w:tcW w:w="1701" w:type="dxa"/>
            <w:vAlign w:val="center"/>
          </w:tcPr>
          <w:p>
            <w:pPr>
              <w:pStyle w:val="87"/>
              <w:jc w:val="center"/>
              <w:rPr>
                <w:sz w:val="24"/>
                <w:szCs w:val="24"/>
                <w:lang w:eastAsia="en-US"/>
              </w:rPr>
            </w:pPr>
            <w:r>
              <w:rPr>
                <w:sz w:val="24"/>
                <w:szCs w:val="24"/>
                <w:lang w:eastAsia="en-US"/>
              </w:rPr>
              <w:t>60,04</w:t>
            </w:r>
          </w:p>
        </w:tc>
        <w:tc>
          <w:tcPr>
            <w:tcW w:w="1701" w:type="dxa"/>
            <w:vMerge w:val="restart"/>
            <w:vAlign w:val="center"/>
          </w:tcPr>
          <w:p>
            <w:pPr>
              <w:pStyle w:val="87"/>
              <w:jc w:val="center"/>
              <w:rPr>
                <w:sz w:val="24"/>
                <w:szCs w:val="24"/>
                <w:lang w:eastAsia="en-US"/>
              </w:rPr>
            </w:pPr>
            <w:r>
              <w:rPr>
                <w:sz w:val="24"/>
                <w:szCs w:val="24"/>
                <w:lang w:eastAsia="en-US"/>
              </w:rPr>
              <w:t>Плотность застройки – 14 чел/га</w:t>
            </w:r>
          </w:p>
          <w:p>
            <w:pPr>
              <w:pStyle w:val="87"/>
              <w:jc w:val="center"/>
              <w:rPr>
                <w:sz w:val="24"/>
                <w:szCs w:val="24"/>
                <w:lang w:eastAsia="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57" w:type="dxa"/>
            <w:vAlign w:val="center"/>
          </w:tcPr>
          <w:p>
            <w:pPr>
              <w:pStyle w:val="87"/>
              <w:jc w:val="center"/>
              <w:rPr>
                <w:sz w:val="24"/>
                <w:szCs w:val="24"/>
                <w:lang w:eastAsia="en-US"/>
              </w:rPr>
            </w:pPr>
            <w:r>
              <w:rPr>
                <w:sz w:val="24"/>
                <w:szCs w:val="24"/>
                <w:lang w:eastAsia="en-US"/>
              </w:rPr>
              <w:t>2.</w:t>
            </w:r>
          </w:p>
        </w:tc>
        <w:tc>
          <w:tcPr>
            <w:tcW w:w="3544" w:type="dxa"/>
            <w:vAlign w:val="center"/>
          </w:tcPr>
          <w:p>
            <w:pPr>
              <w:pStyle w:val="87"/>
              <w:rPr>
                <w:sz w:val="24"/>
                <w:szCs w:val="24"/>
                <w:lang w:eastAsia="en-US"/>
              </w:rPr>
            </w:pPr>
            <w:r>
              <w:rPr>
                <w:sz w:val="24"/>
                <w:szCs w:val="24"/>
                <w:lang w:eastAsia="en-US"/>
              </w:rPr>
              <w:t>Общественно-деловая зона</w:t>
            </w:r>
          </w:p>
        </w:tc>
        <w:tc>
          <w:tcPr>
            <w:tcW w:w="1984" w:type="dxa"/>
            <w:vAlign w:val="center"/>
          </w:tcPr>
          <w:p>
            <w:pPr>
              <w:pStyle w:val="87"/>
              <w:jc w:val="center"/>
              <w:rPr>
                <w:sz w:val="24"/>
                <w:szCs w:val="24"/>
                <w:lang w:eastAsia="en-US"/>
              </w:rPr>
            </w:pPr>
            <w:r>
              <w:rPr>
                <w:sz w:val="24"/>
                <w:szCs w:val="24"/>
                <w:lang w:eastAsia="en-US"/>
              </w:rPr>
              <w:t>18,74</w:t>
            </w:r>
          </w:p>
        </w:tc>
        <w:tc>
          <w:tcPr>
            <w:tcW w:w="1701" w:type="dxa"/>
            <w:vAlign w:val="center"/>
          </w:tcPr>
          <w:p>
            <w:pPr>
              <w:pStyle w:val="87"/>
              <w:jc w:val="center"/>
              <w:rPr>
                <w:sz w:val="24"/>
                <w:szCs w:val="24"/>
                <w:lang w:eastAsia="en-US"/>
              </w:rPr>
            </w:pPr>
            <w:r>
              <w:rPr>
                <w:sz w:val="24"/>
                <w:szCs w:val="24"/>
                <w:lang w:eastAsia="en-US"/>
              </w:rPr>
              <w:t>2,53</w:t>
            </w:r>
          </w:p>
        </w:tc>
        <w:tc>
          <w:tcPr>
            <w:tcW w:w="1701" w:type="dxa"/>
            <w:vMerge w:val="continue"/>
            <w:vAlign w:val="center"/>
          </w:tcPr>
          <w:p>
            <w:pPr>
              <w:pStyle w:val="87"/>
              <w:jc w:val="center"/>
              <w:rPr>
                <w:sz w:val="24"/>
                <w:szCs w:val="24"/>
                <w:lang w:eastAsia="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57" w:type="dxa"/>
            <w:vAlign w:val="center"/>
          </w:tcPr>
          <w:p>
            <w:pPr>
              <w:pStyle w:val="87"/>
              <w:jc w:val="center"/>
              <w:rPr>
                <w:sz w:val="24"/>
                <w:szCs w:val="24"/>
                <w:lang w:eastAsia="en-US"/>
              </w:rPr>
            </w:pPr>
            <w:r>
              <w:rPr>
                <w:sz w:val="24"/>
                <w:szCs w:val="24"/>
                <w:lang w:eastAsia="en-US"/>
              </w:rPr>
              <w:t>3.</w:t>
            </w:r>
          </w:p>
        </w:tc>
        <w:tc>
          <w:tcPr>
            <w:tcW w:w="3544" w:type="dxa"/>
            <w:vAlign w:val="center"/>
          </w:tcPr>
          <w:p>
            <w:pPr>
              <w:pStyle w:val="87"/>
              <w:rPr>
                <w:sz w:val="24"/>
                <w:szCs w:val="24"/>
                <w:lang w:eastAsia="en-US"/>
              </w:rPr>
            </w:pPr>
            <w:r>
              <w:rPr>
                <w:sz w:val="24"/>
                <w:szCs w:val="24"/>
                <w:lang w:eastAsia="en-US"/>
              </w:rPr>
              <w:t>Производственная зона</w:t>
            </w:r>
          </w:p>
        </w:tc>
        <w:tc>
          <w:tcPr>
            <w:tcW w:w="1984" w:type="dxa"/>
            <w:vAlign w:val="center"/>
          </w:tcPr>
          <w:p>
            <w:pPr>
              <w:pStyle w:val="87"/>
              <w:jc w:val="center"/>
              <w:rPr>
                <w:sz w:val="24"/>
                <w:szCs w:val="24"/>
                <w:lang w:eastAsia="en-US"/>
              </w:rPr>
            </w:pPr>
            <w:r>
              <w:rPr>
                <w:sz w:val="24"/>
                <w:szCs w:val="24"/>
                <w:lang w:eastAsia="en-US"/>
              </w:rPr>
              <w:t>10,52</w:t>
            </w:r>
          </w:p>
        </w:tc>
        <w:tc>
          <w:tcPr>
            <w:tcW w:w="1701" w:type="dxa"/>
            <w:vAlign w:val="center"/>
          </w:tcPr>
          <w:p>
            <w:pPr>
              <w:pStyle w:val="87"/>
              <w:jc w:val="center"/>
              <w:rPr>
                <w:sz w:val="24"/>
                <w:szCs w:val="24"/>
                <w:lang w:eastAsia="en-US"/>
              </w:rPr>
            </w:pPr>
            <w:r>
              <w:rPr>
                <w:sz w:val="24"/>
                <w:szCs w:val="24"/>
                <w:lang w:eastAsia="en-US"/>
              </w:rPr>
              <w:t>1,42</w:t>
            </w:r>
          </w:p>
        </w:tc>
        <w:tc>
          <w:tcPr>
            <w:tcW w:w="1701" w:type="dxa"/>
            <w:vAlign w:val="center"/>
          </w:tcPr>
          <w:p>
            <w:pPr>
              <w:pStyle w:val="87"/>
              <w:jc w:val="center"/>
              <w:rPr>
                <w:sz w:val="24"/>
                <w:szCs w:val="24"/>
                <w:lang w:eastAsia="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57" w:type="dxa"/>
            <w:vAlign w:val="center"/>
          </w:tcPr>
          <w:p>
            <w:pPr>
              <w:pStyle w:val="87"/>
              <w:jc w:val="center"/>
              <w:rPr>
                <w:sz w:val="24"/>
                <w:szCs w:val="24"/>
                <w:lang w:eastAsia="en-US"/>
              </w:rPr>
            </w:pPr>
            <w:r>
              <w:rPr>
                <w:sz w:val="24"/>
                <w:szCs w:val="24"/>
                <w:lang w:eastAsia="en-US"/>
              </w:rPr>
              <w:t>4.</w:t>
            </w:r>
          </w:p>
        </w:tc>
        <w:tc>
          <w:tcPr>
            <w:tcW w:w="3544" w:type="dxa"/>
            <w:vAlign w:val="center"/>
          </w:tcPr>
          <w:p>
            <w:pPr>
              <w:pStyle w:val="87"/>
              <w:rPr>
                <w:sz w:val="24"/>
                <w:szCs w:val="24"/>
                <w:lang w:eastAsia="en-US"/>
              </w:rPr>
            </w:pPr>
            <w:r>
              <w:rPr>
                <w:sz w:val="24"/>
                <w:szCs w:val="24"/>
                <w:lang w:eastAsia="en-US"/>
              </w:rPr>
              <w:t>Зона транспортной и инженерной  инфраструктур</w:t>
            </w:r>
          </w:p>
        </w:tc>
        <w:tc>
          <w:tcPr>
            <w:tcW w:w="1984" w:type="dxa"/>
            <w:vAlign w:val="center"/>
          </w:tcPr>
          <w:p>
            <w:pPr>
              <w:pStyle w:val="87"/>
              <w:jc w:val="center"/>
              <w:rPr>
                <w:sz w:val="24"/>
                <w:szCs w:val="24"/>
                <w:lang w:eastAsia="en-US"/>
              </w:rPr>
            </w:pPr>
            <w:r>
              <w:rPr>
                <w:sz w:val="24"/>
                <w:szCs w:val="24"/>
                <w:lang w:eastAsia="en-US"/>
              </w:rPr>
              <w:t>46,92</w:t>
            </w:r>
          </w:p>
        </w:tc>
        <w:tc>
          <w:tcPr>
            <w:tcW w:w="1701" w:type="dxa"/>
            <w:vAlign w:val="center"/>
          </w:tcPr>
          <w:p>
            <w:pPr>
              <w:pStyle w:val="87"/>
              <w:jc w:val="center"/>
              <w:rPr>
                <w:sz w:val="24"/>
                <w:szCs w:val="24"/>
                <w:lang w:eastAsia="en-US"/>
              </w:rPr>
            </w:pPr>
            <w:r>
              <w:rPr>
                <w:sz w:val="24"/>
                <w:szCs w:val="24"/>
                <w:lang w:eastAsia="en-US"/>
              </w:rPr>
              <w:t>6,34</w:t>
            </w:r>
          </w:p>
        </w:tc>
        <w:tc>
          <w:tcPr>
            <w:tcW w:w="1701" w:type="dxa"/>
            <w:vAlign w:val="center"/>
          </w:tcPr>
          <w:p>
            <w:pPr>
              <w:pStyle w:val="87"/>
              <w:jc w:val="center"/>
              <w:rPr>
                <w:sz w:val="24"/>
                <w:szCs w:val="24"/>
                <w:lang w:eastAsia="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57" w:type="dxa"/>
            <w:vAlign w:val="center"/>
          </w:tcPr>
          <w:p>
            <w:pPr>
              <w:pStyle w:val="87"/>
              <w:jc w:val="center"/>
              <w:rPr>
                <w:sz w:val="24"/>
                <w:szCs w:val="24"/>
                <w:lang w:eastAsia="en-US"/>
              </w:rPr>
            </w:pPr>
            <w:r>
              <w:rPr>
                <w:sz w:val="24"/>
                <w:szCs w:val="24"/>
                <w:lang w:eastAsia="en-US"/>
              </w:rPr>
              <w:t>5.</w:t>
            </w:r>
          </w:p>
        </w:tc>
        <w:tc>
          <w:tcPr>
            <w:tcW w:w="3544" w:type="dxa"/>
            <w:vAlign w:val="center"/>
          </w:tcPr>
          <w:p>
            <w:pPr>
              <w:pStyle w:val="87"/>
              <w:rPr>
                <w:sz w:val="24"/>
                <w:szCs w:val="24"/>
                <w:lang w:eastAsia="en-US"/>
              </w:rPr>
            </w:pPr>
            <w:r>
              <w:rPr>
                <w:sz w:val="24"/>
                <w:szCs w:val="24"/>
                <w:lang w:eastAsia="en-US"/>
              </w:rPr>
              <w:t>Рекреационная зона</w:t>
            </w:r>
          </w:p>
        </w:tc>
        <w:tc>
          <w:tcPr>
            <w:tcW w:w="1984" w:type="dxa"/>
            <w:vAlign w:val="center"/>
          </w:tcPr>
          <w:p>
            <w:pPr>
              <w:pStyle w:val="87"/>
              <w:jc w:val="center"/>
              <w:rPr>
                <w:sz w:val="24"/>
                <w:szCs w:val="24"/>
                <w:lang w:eastAsia="en-US"/>
              </w:rPr>
            </w:pPr>
            <w:r>
              <w:rPr>
                <w:sz w:val="24"/>
                <w:szCs w:val="24"/>
                <w:lang w:eastAsia="en-US"/>
              </w:rPr>
              <w:t>46,00</w:t>
            </w:r>
          </w:p>
        </w:tc>
        <w:tc>
          <w:tcPr>
            <w:tcW w:w="1701" w:type="dxa"/>
            <w:vAlign w:val="center"/>
          </w:tcPr>
          <w:p>
            <w:pPr>
              <w:pStyle w:val="87"/>
              <w:jc w:val="center"/>
              <w:rPr>
                <w:sz w:val="24"/>
                <w:szCs w:val="24"/>
                <w:lang w:eastAsia="en-US"/>
              </w:rPr>
            </w:pPr>
            <w:r>
              <w:rPr>
                <w:sz w:val="24"/>
                <w:szCs w:val="24"/>
                <w:lang w:eastAsia="en-US"/>
              </w:rPr>
              <w:t>6,21</w:t>
            </w:r>
          </w:p>
        </w:tc>
        <w:tc>
          <w:tcPr>
            <w:tcW w:w="1701" w:type="dxa"/>
            <w:vAlign w:val="center"/>
          </w:tcPr>
          <w:p>
            <w:pPr>
              <w:pStyle w:val="87"/>
              <w:jc w:val="center"/>
              <w:rPr>
                <w:sz w:val="24"/>
                <w:szCs w:val="24"/>
                <w:lang w:eastAsia="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57" w:type="dxa"/>
            <w:vAlign w:val="center"/>
          </w:tcPr>
          <w:p>
            <w:pPr>
              <w:pStyle w:val="87"/>
              <w:jc w:val="center"/>
              <w:rPr>
                <w:sz w:val="24"/>
                <w:szCs w:val="24"/>
                <w:lang w:eastAsia="en-US"/>
              </w:rPr>
            </w:pPr>
            <w:r>
              <w:rPr>
                <w:sz w:val="24"/>
                <w:szCs w:val="24"/>
                <w:lang w:eastAsia="en-US"/>
              </w:rPr>
              <w:t>6.</w:t>
            </w:r>
          </w:p>
        </w:tc>
        <w:tc>
          <w:tcPr>
            <w:tcW w:w="3544" w:type="dxa"/>
            <w:vAlign w:val="center"/>
          </w:tcPr>
          <w:p>
            <w:pPr>
              <w:pStyle w:val="87"/>
              <w:rPr>
                <w:sz w:val="24"/>
                <w:szCs w:val="24"/>
                <w:lang w:eastAsia="en-US"/>
              </w:rPr>
            </w:pPr>
            <w:r>
              <w:rPr>
                <w:sz w:val="24"/>
                <w:szCs w:val="24"/>
                <w:lang w:eastAsia="en-US"/>
              </w:rPr>
              <w:t>Зона сельскохозяйственного использования</w:t>
            </w:r>
          </w:p>
        </w:tc>
        <w:tc>
          <w:tcPr>
            <w:tcW w:w="1984" w:type="dxa"/>
            <w:vAlign w:val="center"/>
          </w:tcPr>
          <w:p>
            <w:pPr>
              <w:pStyle w:val="87"/>
              <w:jc w:val="center"/>
              <w:rPr>
                <w:sz w:val="24"/>
                <w:szCs w:val="24"/>
                <w:lang w:eastAsia="en-US"/>
              </w:rPr>
            </w:pPr>
            <w:r>
              <w:rPr>
                <w:sz w:val="24"/>
                <w:szCs w:val="24"/>
                <w:lang w:eastAsia="en-US"/>
              </w:rPr>
              <w:t>159,58</w:t>
            </w:r>
          </w:p>
        </w:tc>
        <w:tc>
          <w:tcPr>
            <w:tcW w:w="1701" w:type="dxa"/>
            <w:vAlign w:val="center"/>
          </w:tcPr>
          <w:p>
            <w:pPr>
              <w:pStyle w:val="87"/>
              <w:jc w:val="center"/>
              <w:rPr>
                <w:sz w:val="24"/>
                <w:szCs w:val="24"/>
                <w:lang w:eastAsia="en-US"/>
              </w:rPr>
            </w:pPr>
            <w:r>
              <w:rPr>
                <w:sz w:val="24"/>
                <w:szCs w:val="24"/>
                <w:lang w:eastAsia="en-US"/>
              </w:rPr>
              <w:t>21,55</w:t>
            </w:r>
          </w:p>
        </w:tc>
        <w:tc>
          <w:tcPr>
            <w:tcW w:w="1701" w:type="dxa"/>
            <w:vAlign w:val="center"/>
          </w:tcPr>
          <w:p>
            <w:pPr>
              <w:pStyle w:val="87"/>
              <w:jc w:val="center"/>
              <w:rPr>
                <w:sz w:val="24"/>
                <w:szCs w:val="24"/>
                <w:lang w:eastAsia="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57" w:type="dxa"/>
            <w:vAlign w:val="center"/>
          </w:tcPr>
          <w:p>
            <w:pPr>
              <w:pStyle w:val="87"/>
              <w:jc w:val="center"/>
              <w:rPr>
                <w:sz w:val="24"/>
                <w:szCs w:val="24"/>
                <w:lang w:eastAsia="en-US"/>
              </w:rPr>
            </w:pPr>
            <w:r>
              <w:rPr>
                <w:sz w:val="24"/>
                <w:szCs w:val="24"/>
                <w:lang w:eastAsia="en-US"/>
              </w:rPr>
              <w:t>7.</w:t>
            </w:r>
          </w:p>
        </w:tc>
        <w:tc>
          <w:tcPr>
            <w:tcW w:w="3544" w:type="dxa"/>
            <w:vAlign w:val="center"/>
          </w:tcPr>
          <w:p>
            <w:pPr>
              <w:pStyle w:val="87"/>
              <w:rPr>
                <w:sz w:val="24"/>
                <w:szCs w:val="24"/>
                <w:lang w:eastAsia="en-US"/>
              </w:rPr>
            </w:pPr>
            <w:r>
              <w:rPr>
                <w:sz w:val="24"/>
                <w:szCs w:val="24"/>
                <w:lang w:eastAsia="en-US"/>
              </w:rPr>
              <w:t>Зона специального назначения</w:t>
            </w:r>
          </w:p>
        </w:tc>
        <w:tc>
          <w:tcPr>
            <w:tcW w:w="1984" w:type="dxa"/>
            <w:vAlign w:val="center"/>
          </w:tcPr>
          <w:p>
            <w:pPr>
              <w:pStyle w:val="87"/>
              <w:jc w:val="center"/>
              <w:rPr>
                <w:sz w:val="24"/>
                <w:szCs w:val="24"/>
                <w:lang w:eastAsia="en-US"/>
              </w:rPr>
            </w:pPr>
            <w:r>
              <w:rPr>
                <w:sz w:val="24"/>
                <w:szCs w:val="24"/>
                <w:lang w:eastAsia="en-US"/>
              </w:rPr>
              <w:t>14,14</w:t>
            </w:r>
          </w:p>
        </w:tc>
        <w:tc>
          <w:tcPr>
            <w:tcW w:w="1701" w:type="dxa"/>
            <w:vAlign w:val="center"/>
          </w:tcPr>
          <w:p>
            <w:pPr>
              <w:pStyle w:val="87"/>
              <w:jc w:val="center"/>
              <w:rPr>
                <w:sz w:val="24"/>
                <w:szCs w:val="24"/>
                <w:lang w:eastAsia="en-US"/>
              </w:rPr>
            </w:pPr>
            <w:r>
              <w:rPr>
                <w:sz w:val="24"/>
                <w:szCs w:val="24"/>
                <w:lang w:eastAsia="en-US"/>
              </w:rPr>
              <w:t>1,91</w:t>
            </w:r>
          </w:p>
        </w:tc>
        <w:tc>
          <w:tcPr>
            <w:tcW w:w="1701" w:type="dxa"/>
            <w:vAlign w:val="center"/>
          </w:tcPr>
          <w:p>
            <w:pPr>
              <w:pStyle w:val="87"/>
              <w:jc w:val="center"/>
              <w:rPr>
                <w:sz w:val="24"/>
                <w:szCs w:val="24"/>
                <w:lang w:eastAsia="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57" w:type="dxa"/>
            <w:vAlign w:val="center"/>
          </w:tcPr>
          <w:p>
            <w:pPr>
              <w:pStyle w:val="87"/>
              <w:jc w:val="center"/>
              <w:rPr>
                <w:sz w:val="24"/>
                <w:szCs w:val="24"/>
                <w:lang w:eastAsia="en-US"/>
              </w:rPr>
            </w:pPr>
          </w:p>
        </w:tc>
        <w:tc>
          <w:tcPr>
            <w:tcW w:w="3544" w:type="dxa"/>
            <w:vAlign w:val="center"/>
          </w:tcPr>
          <w:p>
            <w:pPr>
              <w:pStyle w:val="87"/>
              <w:jc w:val="center"/>
              <w:rPr>
                <w:sz w:val="24"/>
                <w:szCs w:val="24"/>
                <w:lang w:eastAsia="en-US"/>
              </w:rPr>
            </w:pPr>
            <w:r>
              <w:rPr>
                <w:sz w:val="24"/>
                <w:szCs w:val="24"/>
                <w:lang w:eastAsia="en-US"/>
              </w:rPr>
              <w:t>ИТОГО</w:t>
            </w:r>
          </w:p>
        </w:tc>
        <w:tc>
          <w:tcPr>
            <w:tcW w:w="1984" w:type="dxa"/>
            <w:vAlign w:val="center"/>
          </w:tcPr>
          <w:p>
            <w:pPr>
              <w:pStyle w:val="87"/>
              <w:jc w:val="center"/>
              <w:rPr>
                <w:b/>
                <w:sz w:val="24"/>
                <w:szCs w:val="24"/>
                <w:lang w:eastAsia="en-US"/>
              </w:rPr>
            </w:pPr>
            <w:r>
              <w:rPr>
                <w:b/>
                <w:sz w:val="24"/>
                <w:szCs w:val="24"/>
                <w:lang w:eastAsia="en-US"/>
              </w:rPr>
              <w:t>403,69</w:t>
            </w:r>
          </w:p>
        </w:tc>
        <w:tc>
          <w:tcPr>
            <w:tcW w:w="1701" w:type="dxa"/>
            <w:vAlign w:val="center"/>
          </w:tcPr>
          <w:p>
            <w:pPr>
              <w:pStyle w:val="87"/>
              <w:jc w:val="center"/>
              <w:rPr>
                <w:sz w:val="24"/>
                <w:szCs w:val="24"/>
                <w:lang w:eastAsia="en-US"/>
              </w:rPr>
            </w:pPr>
            <w:r>
              <w:rPr>
                <w:sz w:val="24"/>
                <w:szCs w:val="24"/>
                <w:lang w:eastAsia="en-US"/>
              </w:rPr>
              <w:t>100</w:t>
            </w:r>
          </w:p>
        </w:tc>
        <w:tc>
          <w:tcPr>
            <w:tcW w:w="1701" w:type="dxa"/>
            <w:vAlign w:val="center"/>
          </w:tcPr>
          <w:p>
            <w:pPr>
              <w:pStyle w:val="87"/>
              <w:jc w:val="center"/>
              <w:rPr>
                <w:sz w:val="24"/>
                <w:szCs w:val="24"/>
                <w:lang w:eastAsia="en-US"/>
              </w:rPr>
            </w:pPr>
          </w:p>
        </w:tc>
      </w:tr>
    </w:tbl>
    <w:p>
      <w:pPr>
        <w:shd w:val="clear" w:color="auto" w:fill="FFFFFF"/>
        <w:suppressAutoHyphens w:val="0"/>
        <w:autoSpaceDN/>
        <w:ind w:firstLine="567"/>
        <w:jc w:val="both"/>
        <w:textAlignment w:val="auto"/>
        <w:rPr>
          <w:spacing w:val="-1"/>
          <w:sz w:val="28"/>
          <w:szCs w:val="28"/>
          <w:lang w:eastAsia="en-US"/>
        </w:rPr>
      </w:pPr>
    </w:p>
    <w:p>
      <w:pPr>
        <w:jc w:val="both"/>
        <w:rPr>
          <w:sz w:val="28"/>
          <w:szCs w:val="28"/>
        </w:rPr>
      </w:pPr>
      <w:r>
        <w:rPr>
          <w:sz w:val="28"/>
          <w:szCs w:val="28"/>
        </w:rPr>
        <w:t xml:space="preserve">     Жилищный фонд хутора Тормосин складывается  из одноэтажных  жилых домов и индивидуальных жилых домов с приусадебными участками. </w:t>
      </w:r>
    </w:p>
    <w:p>
      <w:pPr>
        <w:jc w:val="both"/>
        <w:rPr>
          <w:sz w:val="28"/>
          <w:szCs w:val="28"/>
        </w:rPr>
      </w:pPr>
      <w:r>
        <w:rPr>
          <w:sz w:val="28"/>
          <w:szCs w:val="28"/>
        </w:rPr>
        <w:t xml:space="preserve">Площадь жилого фонда составляет  - 27820  кв.м. Средняя жилищная обеспеченность населения  хуторов составляет 20 кв. м/чел. </w:t>
      </w:r>
    </w:p>
    <w:p>
      <w:pPr>
        <w:jc w:val="both"/>
        <w:rPr>
          <w:sz w:val="28"/>
          <w:szCs w:val="28"/>
        </w:rPr>
      </w:pPr>
      <w:r>
        <w:rPr>
          <w:sz w:val="28"/>
          <w:szCs w:val="28"/>
        </w:rPr>
        <w:t>В 2006-2011 гг. жилищное строительство в посёлках осуществлялось   за счет собственных и заемных средств. Средства бюджетов Волгоградской области и  муниципального района в жилищное строительство не вкладывались.</w:t>
      </w:r>
    </w:p>
    <w:p>
      <w:pPr>
        <w:jc w:val="both"/>
        <w:rPr>
          <w:sz w:val="28"/>
          <w:szCs w:val="28"/>
        </w:rPr>
      </w:pPr>
      <w:r>
        <w:rPr>
          <w:sz w:val="28"/>
          <w:szCs w:val="28"/>
        </w:rPr>
        <w:t xml:space="preserve">      Генеральным планом Тормосинского сельского поселения не предусматривается строительство многоквартирных домов и общественных зданий, в том числе не предусмотрено новое строительство источников производства тепловой энергии.</w:t>
      </w:r>
    </w:p>
    <w:p>
      <w:pPr>
        <w:jc w:val="both"/>
        <w:rPr>
          <w:sz w:val="28"/>
          <w:szCs w:val="28"/>
        </w:rPr>
      </w:pPr>
      <w:r>
        <w:rPr>
          <w:sz w:val="28"/>
          <w:szCs w:val="28"/>
        </w:rPr>
        <w:t xml:space="preserve">     Градостроительный анализ территории выявил, что размещение социальных объектов местного значения на территории населенного пункта не требуется, ввиду того, что существующая социальная инфраструктура заполнена не на проектную мощность и имеет резерв для развития.</w:t>
      </w:r>
    </w:p>
    <w:p>
      <w:pPr>
        <w:jc w:val="both"/>
        <w:rPr>
          <w:sz w:val="28"/>
          <w:szCs w:val="28"/>
        </w:rPr>
      </w:pPr>
      <w:r>
        <w:rPr>
          <w:sz w:val="28"/>
          <w:szCs w:val="28"/>
        </w:rPr>
        <w:t xml:space="preserve">     При разработке проектов планировки и проектов застройки для малоэтажной жилой застройки и застройки индивидуальными жилыми домами, необходимо предусматривать теплоснабжение от автономных источников. Централизованное теплоснабжение малоэтажной и индивидуальной застройки нецелесообразно по причине малых нагрузок и малой плотности застройки, ввиду чего рекомендуется строительство тепловых сетей малых диаметров, но большой протяженности.</w:t>
      </w:r>
    </w:p>
    <w:p>
      <w:pPr>
        <w:jc w:val="both"/>
        <w:rPr>
          <w:sz w:val="28"/>
          <w:szCs w:val="28"/>
        </w:rPr>
      </w:pPr>
      <w:r>
        <w:rPr>
          <w:sz w:val="28"/>
          <w:szCs w:val="28"/>
        </w:rPr>
        <w:t xml:space="preserve">         В зоне расположения существующих сетей теплоснабжения капитальное строительство каких-либо новых объектов практически не возможно, и перспективный спрос на тепловую энергию в поселении остается на прежнем уровне, а возможно и снизится при условии перехода отдельных потребителей на индивидуальное отопление. В той части поселения, где планируется индивидуальная жилая застройка, потребность  на тепловую энергию будет реализована установкой индивидуальных отопительных котлов для жилых домов.</w:t>
      </w:r>
    </w:p>
    <w:p>
      <w:pPr>
        <w:jc w:val="both"/>
        <w:rPr>
          <w:sz w:val="28"/>
          <w:szCs w:val="28"/>
        </w:rPr>
      </w:pPr>
      <w:r>
        <w:rPr>
          <w:sz w:val="28"/>
          <w:szCs w:val="28"/>
        </w:rPr>
        <w:t xml:space="preserve">     Основным видом теплоснабжения в существующей схеме теплоснабжения является горячая вода в виде теплоносителя. Ответственным за производство тепловой энергии, ее транспортировку и теплоснабжение потребителей является Муниципальное бюджетное учреждение «УПРАВЛЕНИЕ ЖИЛИЩНО КОММУНАЛЬНОГО ХОЗЯЙСТВА».</w:t>
      </w:r>
    </w:p>
    <w:p>
      <w:pPr>
        <w:jc w:val="both"/>
        <w:rPr>
          <w:sz w:val="28"/>
          <w:szCs w:val="28"/>
        </w:rPr>
      </w:pPr>
      <w:r>
        <w:rPr>
          <w:sz w:val="28"/>
          <w:szCs w:val="28"/>
        </w:rPr>
        <w:t xml:space="preserve">     Границы существующих и планируемых производственных зон показаны на Генеральном плане Чернышковского муниципального района.</w:t>
      </w:r>
    </w:p>
    <w:p>
      <w:pPr>
        <w:jc w:val="both"/>
        <w:rPr>
          <w:sz w:val="28"/>
          <w:szCs w:val="28"/>
        </w:rPr>
      </w:pPr>
      <w:r>
        <w:rPr>
          <w:sz w:val="28"/>
          <w:szCs w:val="28"/>
        </w:rPr>
        <w:t>Основные производственные зоны включают  коммунально-складское хозяйство и инженерную инфраструктуру.</w:t>
      </w:r>
    </w:p>
    <w:p>
      <w:pPr>
        <w:jc w:val="both"/>
        <w:rPr>
          <w:sz w:val="28"/>
          <w:szCs w:val="28"/>
        </w:rPr>
      </w:pPr>
      <w:r>
        <w:rPr>
          <w:sz w:val="28"/>
          <w:szCs w:val="28"/>
        </w:rPr>
        <w:t xml:space="preserve">     В перспективе сохранится сложившееся размещение производственных зон, возможным их развитием, как за счет внутренних территориальных резервов, так и освоения новых месторождений в границах поселения.</w:t>
      </w:r>
    </w:p>
    <w:p>
      <w:pPr>
        <w:suppressAutoHyphens w:val="0"/>
        <w:autoSpaceDN/>
        <w:spacing w:line="278" w:lineRule="exact"/>
        <w:ind w:right="-60" w:firstLine="567"/>
        <w:jc w:val="both"/>
        <w:textAlignment w:val="auto"/>
        <w:rPr>
          <w:sz w:val="28"/>
          <w:szCs w:val="28"/>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rPr>
      </w:pPr>
    </w:p>
    <w:p>
      <w:pPr>
        <w:suppressAutoHyphens w:val="0"/>
        <w:autoSpaceDN/>
        <w:spacing w:line="278" w:lineRule="exact"/>
        <w:ind w:right="-60" w:firstLine="567"/>
        <w:jc w:val="center"/>
        <w:textAlignment w:val="auto"/>
        <w:rPr>
          <w:i/>
          <w:sz w:val="28"/>
          <w:szCs w:val="28"/>
        </w:rPr>
      </w:pPr>
      <w:r>
        <w:rPr>
          <w:i/>
          <w:sz w:val="28"/>
          <w:szCs w:val="28"/>
        </w:rPr>
        <w:t>Генеральный план Тормосиновского сельского поселения</w:t>
      </w:r>
    </w:p>
    <w:p>
      <w:pPr>
        <w:suppressAutoHyphens w:val="0"/>
        <w:autoSpaceDN/>
        <w:spacing w:line="278" w:lineRule="exact"/>
        <w:ind w:right="-60" w:firstLine="567"/>
        <w:jc w:val="both"/>
        <w:textAlignment w:val="auto"/>
        <w:rPr>
          <w:sz w:val="28"/>
          <w:szCs w:val="28"/>
        </w:rPr>
      </w:pPr>
    </w:p>
    <w:p>
      <w:pPr>
        <w:suppressAutoHyphens w:val="0"/>
        <w:autoSpaceDE w:val="0"/>
        <w:adjustRightInd w:val="0"/>
        <w:jc w:val="center"/>
        <w:textAlignment w:val="auto"/>
        <w:rPr>
          <w:b/>
          <w:bCs/>
          <w:iCs/>
          <w:sz w:val="28"/>
          <w:szCs w:val="28"/>
        </w:rPr>
      </w:pPr>
      <w:r>
        <w:rPr>
          <w:b/>
          <w:bCs/>
          <w:iCs/>
          <w:sz w:val="28"/>
          <w:szCs w:val="28"/>
        </w:rPr>
        <w:drawing>
          <wp:inline distT="0" distB="0" distL="0" distR="0">
            <wp:extent cx="6120765" cy="5596890"/>
            <wp:effectExtent l="0" t="0" r="0" b="381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6120765" cy="5596890"/>
                    </a:xfrm>
                    <a:prstGeom prst="rect">
                      <a:avLst/>
                    </a:prstGeom>
                    <a:noFill/>
                  </pic:spPr>
                </pic:pic>
              </a:graphicData>
            </a:graphic>
          </wp:inline>
        </w:drawing>
      </w:r>
    </w:p>
    <w:p>
      <w:pPr>
        <w:suppressAutoHyphens w:val="0"/>
        <w:autoSpaceDE w:val="0"/>
        <w:adjustRightInd w:val="0"/>
        <w:jc w:val="center"/>
        <w:textAlignment w:val="auto"/>
        <w:rPr>
          <w:b/>
          <w:bCs/>
          <w:iCs/>
        </w:rPr>
      </w:pPr>
    </w:p>
    <w:p>
      <w:pPr>
        <w:suppressAutoHyphens w:val="0"/>
        <w:autoSpaceDE w:val="0"/>
        <w:adjustRightInd w:val="0"/>
        <w:jc w:val="center"/>
        <w:textAlignment w:val="auto"/>
        <w:rPr>
          <w:b/>
          <w:bCs/>
          <w:iCs/>
        </w:rPr>
      </w:pPr>
    </w:p>
    <w:p>
      <w:pPr>
        <w:suppressAutoHyphens w:val="0"/>
        <w:autoSpaceDE w:val="0"/>
        <w:adjustRightInd w:val="0"/>
        <w:jc w:val="center"/>
        <w:textAlignment w:val="auto"/>
        <w:rPr>
          <w:b/>
          <w:bCs/>
          <w:iCs/>
          <w:sz w:val="28"/>
          <w:szCs w:val="28"/>
        </w:rPr>
      </w:pPr>
      <w:r>
        <w:rPr>
          <w:b/>
          <w:bCs/>
          <w:iCs/>
          <w:sz w:val="28"/>
          <w:szCs w:val="28"/>
        </w:rPr>
        <w:t>1.3.Объемы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w:t>
      </w:r>
    </w:p>
    <w:p>
      <w:pPr>
        <w:suppressAutoHyphens w:val="0"/>
        <w:autoSpaceDN/>
        <w:ind w:firstLine="567"/>
        <w:jc w:val="both"/>
        <w:textAlignment w:val="auto"/>
        <w:rPr>
          <w:sz w:val="28"/>
          <w:szCs w:val="28"/>
        </w:rPr>
      </w:pPr>
      <w:r>
        <w:rPr>
          <w:sz w:val="28"/>
          <w:szCs w:val="28"/>
        </w:rPr>
        <w:t>Количество заключенных договоров на подключение потребителей к тепловым сетям в отопительном сезоне 2013-2014 гг. осталось неизменным и составляет – 4 шт.</w:t>
      </w:r>
    </w:p>
    <w:p>
      <w:pPr>
        <w:suppressAutoHyphens w:val="0"/>
        <w:autoSpaceDN/>
        <w:ind w:firstLine="567"/>
        <w:jc w:val="both"/>
        <w:textAlignment w:val="auto"/>
        <w:rPr>
          <w:sz w:val="28"/>
          <w:szCs w:val="28"/>
        </w:rPr>
      </w:pPr>
      <w:r>
        <w:rPr>
          <w:sz w:val="28"/>
          <w:szCs w:val="28"/>
        </w:rPr>
        <w:t>Показатели перспективного спроса на тепловую мощность, тепловую энергию и теплоноситель на период до 2030 года остаются неизменными.</w:t>
      </w:r>
    </w:p>
    <w:p>
      <w:pPr>
        <w:suppressAutoHyphens w:val="0"/>
        <w:autoSpaceDN/>
        <w:ind w:firstLine="567"/>
        <w:jc w:val="center"/>
        <w:textAlignment w:val="auto"/>
        <w:rPr>
          <w:sz w:val="28"/>
          <w:szCs w:val="28"/>
        </w:rPr>
      </w:pPr>
    </w:p>
    <w:p>
      <w:pPr>
        <w:suppressAutoHyphens w:val="0"/>
        <w:autoSpaceDN/>
        <w:ind w:firstLine="567"/>
        <w:jc w:val="center"/>
        <w:textAlignment w:val="auto"/>
        <w:rPr>
          <w:i/>
          <w:sz w:val="28"/>
          <w:szCs w:val="28"/>
        </w:rPr>
      </w:pPr>
    </w:p>
    <w:p>
      <w:pPr>
        <w:suppressAutoHyphens w:val="0"/>
        <w:autoSpaceDN/>
        <w:ind w:firstLine="567"/>
        <w:jc w:val="center"/>
        <w:textAlignment w:val="auto"/>
        <w:rPr>
          <w:i/>
          <w:sz w:val="28"/>
          <w:szCs w:val="28"/>
        </w:rPr>
      </w:pPr>
    </w:p>
    <w:p>
      <w:pPr>
        <w:suppressAutoHyphens w:val="0"/>
        <w:autoSpaceDN/>
        <w:ind w:firstLine="567"/>
        <w:jc w:val="center"/>
        <w:textAlignment w:val="auto"/>
        <w:rPr>
          <w:i/>
          <w:sz w:val="28"/>
          <w:szCs w:val="28"/>
        </w:rPr>
      </w:pPr>
    </w:p>
    <w:p>
      <w:pPr>
        <w:suppressAutoHyphens w:val="0"/>
        <w:autoSpaceDN/>
        <w:ind w:firstLine="567"/>
        <w:jc w:val="center"/>
        <w:textAlignment w:val="auto"/>
        <w:rPr>
          <w:i/>
          <w:sz w:val="28"/>
          <w:szCs w:val="28"/>
        </w:rPr>
      </w:pPr>
    </w:p>
    <w:p>
      <w:pPr>
        <w:suppressAutoHyphens w:val="0"/>
        <w:autoSpaceDN/>
        <w:ind w:firstLine="567"/>
        <w:jc w:val="center"/>
        <w:textAlignment w:val="auto"/>
        <w:rPr>
          <w:i/>
          <w:sz w:val="28"/>
          <w:szCs w:val="28"/>
        </w:rPr>
      </w:pPr>
      <w:r>
        <w:rPr>
          <w:i/>
          <w:sz w:val="28"/>
          <w:szCs w:val="28"/>
        </w:rPr>
        <w:t>Ежегодный прирост нагрузки системы теплоснабжения.</w:t>
      </w:r>
    </w:p>
    <w:p>
      <w:pPr>
        <w:suppressAutoHyphens w:val="0"/>
        <w:autoSpaceDN/>
        <w:ind w:firstLine="567"/>
        <w:jc w:val="right"/>
        <w:textAlignment w:val="auto"/>
        <w:rPr>
          <w:i/>
        </w:rPr>
      </w:pPr>
    </w:p>
    <w:tbl>
      <w:tblPr>
        <w:tblStyle w:val="29"/>
        <w:tblW w:w="964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20"/>
        <w:gridCol w:w="964"/>
        <w:gridCol w:w="964"/>
        <w:gridCol w:w="964"/>
        <w:gridCol w:w="964"/>
        <w:gridCol w:w="9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jc w:val="center"/>
              <w:textAlignment w:val="auto"/>
              <w:rPr>
                <w:sz w:val="24"/>
                <w:szCs w:val="24"/>
              </w:rPr>
            </w:pPr>
            <w:r>
              <w:rPr>
                <w:sz w:val="24"/>
                <w:szCs w:val="24"/>
              </w:rPr>
              <w:t>Планируемый прирост нагрузок, Гкал/ч</w:t>
            </w:r>
          </w:p>
        </w:tc>
        <w:tc>
          <w:tcPr>
            <w:tcW w:w="964" w:type="dxa"/>
            <w:vAlign w:val="center"/>
          </w:tcPr>
          <w:p>
            <w:pPr>
              <w:suppressAutoHyphens w:val="0"/>
              <w:autoSpaceDN/>
              <w:jc w:val="center"/>
              <w:textAlignment w:val="auto"/>
              <w:rPr>
                <w:sz w:val="24"/>
                <w:szCs w:val="24"/>
              </w:rPr>
            </w:pPr>
            <w:r>
              <w:rPr>
                <w:sz w:val="24"/>
                <w:szCs w:val="24"/>
              </w:rPr>
              <w:t>2014г.</w:t>
            </w:r>
          </w:p>
        </w:tc>
        <w:tc>
          <w:tcPr>
            <w:tcW w:w="964" w:type="dxa"/>
            <w:vAlign w:val="center"/>
          </w:tcPr>
          <w:p>
            <w:pPr>
              <w:suppressAutoHyphens w:val="0"/>
              <w:autoSpaceDN/>
              <w:jc w:val="center"/>
              <w:textAlignment w:val="auto"/>
              <w:rPr>
                <w:sz w:val="24"/>
                <w:szCs w:val="24"/>
              </w:rPr>
            </w:pPr>
            <w:r>
              <w:rPr>
                <w:sz w:val="24"/>
                <w:szCs w:val="24"/>
              </w:rPr>
              <w:t>2015г.</w:t>
            </w:r>
          </w:p>
        </w:tc>
        <w:tc>
          <w:tcPr>
            <w:tcW w:w="964" w:type="dxa"/>
            <w:vAlign w:val="center"/>
          </w:tcPr>
          <w:p>
            <w:pPr>
              <w:suppressAutoHyphens w:val="0"/>
              <w:autoSpaceDN/>
              <w:jc w:val="center"/>
              <w:textAlignment w:val="auto"/>
              <w:rPr>
                <w:sz w:val="24"/>
                <w:szCs w:val="24"/>
              </w:rPr>
            </w:pPr>
            <w:r>
              <w:rPr>
                <w:sz w:val="24"/>
                <w:szCs w:val="24"/>
              </w:rPr>
              <w:t>2016-2020г.г.</w:t>
            </w:r>
          </w:p>
        </w:tc>
        <w:tc>
          <w:tcPr>
            <w:tcW w:w="964" w:type="dxa"/>
            <w:vAlign w:val="center"/>
          </w:tcPr>
          <w:p>
            <w:pPr>
              <w:suppressAutoHyphens w:val="0"/>
              <w:autoSpaceDN/>
              <w:jc w:val="center"/>
              <w:textAlignment w:val="auto"/>
              <w:rPr>
                <w:sz w:val="24"/>
                <w:szCs w:val="24"/>
              </w:rPr>
            </w:pPr>
            <w:r>
              <w:rPr>
                <w:sz w:val="24"/>
                <w:szCs w:val="24"/>
              </w:rPr>
              <w:t>2021-2025г.г.</w:t>
            </w:r>
          </w:p>
        </w:tc>
        <w:tc>
          <w:tcPr>
            <w:tcW w:w="964" w:type="dxa"/>
            <w:vAlign w:val="center"/>
          </w:tcPr>
          <w:p>
            <w:pPr>
              <w:suppressAutoHyphens w:val="0"/>
              <w:autoSpaceDN/>
              <w:jc w:val="center"/>
              <w:textAlignment w:val="auto"/>
              <w:rPr>
                <w:sz w:val="24"/>
                <w:szCs w:val="24"/>
              </w:rPr>
            </w:pPr>
            <w:r>
              <w:rPr>
                <w:sz w:val="24"/>
                <w:szCs w:val="24"/>
              </w:rPr>
              <w:t>2026-2030г.г.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textAlignment w:val="auto"/>
              <w:rPr>
                <w:i/>
                <w:sz w:val="24"/>
                <w:szCs w:val="24"/>
              </w:rPr>
            </w:pPr>
            <w:r>
              <w:rPr>
                <w:sz w:val="24"/>
                <w:szCs w:val="24"/>
              </w:rPr>
              <w:t>Жилищный фонд х. Тормосин, в том числе:</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jc w:val="center"/>
              <w:textAlignment w:val="auto"/>
              <w:rPr>
                <w:sz w:val="24"/>
                <w:szCs w:val="24"/>
              </w:rPr>
            </w:pPr>
            <w:r>
              <w:rPr>
                <w:sz w:val="24"/>
                <w:szCs w:val="24"/>
              </w:rPr>
              <w:t>Отопление</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jc w:val="center"/>
              <w:textAlignment w:val="auto"/>
              <w:rPr>
                <w:sz w:val="24"/>
                <w:szCs w:val="24"/>
              </w:rPr>
            </w:pPr>
            <w:r>
              <w:rPr>
                <w:sz w:val="24"/>
                <w:szCs w:val="24"/>
              </w:rPr>
              <w:t>Вентиляция</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jc w:val="center"/>
              <w:textAlignment w:val="auto"/>
              <w:rPr>
                <w:sz w:val="24"/>
                <w:szCs w:val="24"/>
              </w:rPr>
            </w:pPr>
            <w:r>
              <w:rPr>
                <w:sz w:val="24"/>
                <w:szCs w:val="24"/>
              </w:rPr>
              <w:t>ГВС</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textAlignment w:val="auto"/>
              <w:rPr>
                <w:sz w:val="24"/>
                <w:szCs w:val="24"/>
              </w:rPr>
            </w:pPr>
            <w:r>
              <w:rPr>
                <w:sz w:val="24"/>
                <w:szCs w:val="24"/>
              </w:rPr>
              <w:t>Бюджетные учреждения, в том числе:</w:t>
            </w:r>
          </w:p>
        </w:tc>
        <w:tc>
          <w:tcPr>
            <w:tcW w:w="964" w:type="dxa"/>
            <w:vAlign w:val="center"/>
          </w:tcPr>
          <w:p>
            <w:pPr>
              <w:suppressAutoHyphens w:val="0"/>
              <w:autoSpaceDN/>
              <w:jc w:val="center"/>
              <w:textAlignment w:val="auto"/>
              <w:rPr>
                <w:sz w:val="24"/>
                <w:szCs w:val="24"/>
              </w:rPr>
            </w:pPr>
            <w:r>
              <w:rPr>
                <w:sz w:val="24"/>
                <w:szCs w:val="24"/>
              </w:rPr>
              <w:t>0,248</w:t>
            </w:r>
          </w:p>
        </w:tc>
        <w:tc>
          <w:tcPr>
            <w:tcW w:w="964" w:type="dxa"/>
            <w:vAlign w:val="center"/>
          </w:tcPr>
          <w:p>
            <w:pPr>
              <w:suppressAutoHyphens w:val="0"/>
              <w:autoSpaceDN/>
              <w:jc w:val="center"/>
              <w:textAlignment w:val="auto"/>
              <w:rPr>
                <w:sz w:val="24"/>
                <w:szCs w:val="24"/>
              </w:rPr>
            </w:pPr>
            <w:r>
              <w:rPr>
                <w:sz w:val="24"/>
                <w:szCs w:val="24"/>
              </w:rPr>
              <w:t>0,248</w:t>
            </w:r>
          </w:p>
        </w:tc>
        <w:tc>
          <w:tcPr>
            <w:tcW w:w="964" w:type="dxa"/>
            <w:vAlign w:val="center"/>
          </w:tcPr>
          <w:p>
            <w:pPr>
              <w:suppressAutoHyphens w:val="0"/>
              <w:autoSpaceDN/>
              <w:jc w:val="center"/>
              <w:textAlignment w:val="auto"/>
              <w:rPr>
                <w:sz w:val="24"/>
                <w:szCs w:val="24"/>
              </w:rPr>
            </w:pPr>
            <w:r>
              <w:rPr>
                <w:sz w:val="24"/>
                <w:szCs w:val="24"/>
              </w:rPr>
              <w:t>0,248</w:t>
            </w:r>
          </w:p>
        </w:tc>
        <w:tc>
          <w:tcPr>
            <w:tcW w:w="964" w:type="dxa"/>
            <w:vAlign w:val="center"/>
          </w:tcPr>
          <w:p>
            <w:pPr>
              <w:suppressAutoHyphens w:val="0"/>
              <w:autoSpaceDN/>
              <w:jc w:val="center"/>
              <w:textAlignment w:val="auto"/>
              <w:rPr>
                <w:sz w:val="24"/>
                <w:szCs w:val="24"/>
              </w:rPr>
            </w:pPr>
            <w:r>
              <w:rPr>
                <w:sz w:val="24"/>
                <w:szCs w:val="24"/>
              </w:rPr>
              <w:t>0,248</w:t>
            </w:r>
          </w:p>
        </w:tc>
        <w:tc>
          <w:tcPr>
            <w:tcW w:w="964" w:type="dxa"/>
            <w:vAlign w:val="center"/>
          </w:tcPr>
          <w:p>
            <w:pPr>
              <w:suppressAutoHyphens w:val="0"/>
              <w:autoSpaceDN/>
              <w:jc w:val="center"/>
              <w:textAlignment w:val="auto"/>
              <w:rPr>
                <w:sz w:val="24"/>
                <w:szCs w:val="24"/>
              </w:rPr>
            </w:pPr>
            <w:r>
              <w:rPr>
                <w:sz w:val="24"/>
                <w:szCs w:val="24"/>
              </w:rPr>
              <w:t>0,248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jc w:val="center"/>
              <w:textAlignment w:val="auto"/>
              <w:rPr>
                <w:sz w:val="24"/>
                <w:szCs w:val="24"/>
              </w:rPr>
            </w:pPr>
            <w:r>
              <w:rPr>
                <w:sz w:val="24"/>
                <w:szCs w:val="24"/>
              </w:rPr>
              <w:t>Отопление</w:t>
            </w:r>
          </w:p>
        </w:tc>
        <w:tc>
          <w:tcPr>
            <w:tcW w:w="964" w:type="dxa"/>
            <w:vAlign w:val="center"/>
          </w:tcPr>
          <w:p>
            <w:pPr>
              <w:suppressAutoHyphens w:val="0"/>
              <w:autoSpaceDN/>
              <w:jc w:val="center"/>
              <w:textAlignment w:val="auto"/>
              <w:rPr>
                <w:sz w:val="24"/>
                <w:szCs w:val="24"/>
              </w:rPr>
            </w:pPr>
            <w:r>
              <w:rPr>
                <w:sz w:val="24"/>
                <w:szCs w:val="24"/>
              </w:rPr>
              <w:t>0,207</w:t>
            </w:r>
          </w:p>
        </w:tc>
        <w:tc>
          <w:tcPr>
            <w:tcW w:w="964" w:type="dxa"/>
            <w:vAlign w:val="center"/>
          </w:tcPr>
          <w:p>
            <w:pPr>
              <w:suppressAutoHyphens w:val="0"/>
              <w:autoSpaceDN/>
              <w:jc w:val="center"/>
              <w:textAlignment w:val="auto"/>
              <w:rPr>
                <w:sz w:val="24"/>
                <w:szCs w:val="24"/>
              </w:rPr>
            </w:pPr>
            <w:r>
              <w:rPr>
                <w:sz w:val="24"/>
                <w:szCs w:val="24"/>
              </w:rPr>
              <w:t>0,207</w:t>
            </w:r>
          </w:p>
        </w:tc>
        <w:tc>
          <w:tcPr>
            <w:tcW w:w="964" w:type="dxa"/>
            <w:vAlign w:val="center"/>
          </w:tcPr>
          <w:p>
            <w:pPr>
              <w:suppressAutoHyphens w:val="0"/>
              <w:autoSpaceDN/>
              <w:jc w:val="center"/>
              <w:textAlignment w:val="auto"/>
              <w:rPr>
                <w:sz w:val="24"/>
                <w:szCs w:val="24"/>
              </w:rPr>
            </w:pPr>
            <w:r>
              <w:rPr>
                <w:sz w:val="24"/>
                <w:szCs w:val="24"/>
              </w:rPr>
              <w:t>0,207</w:t>
            </w:r>
          </w:p>
        </w:tc>
        <w:tc>
          <w:tcPr>
            <w:tcW w:w="964" w:type="dxa"/>
            <w:vAlign w:val="center"/>
          </w:tcPr>
          <w:p>
            <w:pPr>
              <w:suppressAutoHyphens w:val="0"/>
              <w:autoSpaceDN/>
              <w:jc w:val="center"/>
              <w:textAlignment w:val="auto"/>
              <w:rPr>
                <w:sz w:val="24"/>
                <w:szCs w:val="24"/>
              </w:rPr>
            </w:pPr>
            <w:r>
              <w:rPr>
                <w:sz w:val="24"/>
                <w:szCs w:val="24"/>
              </w:rPr>
              <w:t>0,207</w:t>
            </w:r>
          </w:p>
        </w:tc>
        <w:tc>
          <w:tcPr>
            <w:tcW w:w="964" w:type="dxa"/>
            <w:vAlign w:val="center"/>
          </w:tcPr>
          <w:p>
            <w:pPr>
              <w:suppressAutoHyphens w:val="0"/>
              <w:autoSpaceDN/>
              <w:jc w:val="center"/>
              <w:textAlignment w:val="auto"/>
              <w:rPr>
                <w:sz w:val="24"/>
                <w:szCs w:val="24"/>
              </w:rPr>
            </w:pPr>
            <w:r>
              <w:rPr>
                <w:sz w:val="24"/>
                <w:szCs w:val="24"/>
              </w:rPr>
              <w:t>0,207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jc w:val="center"/>
              <w:textAlignment w:val="auto"/>
              <w:rPr>
                <w:sz w:val="24"/>
                <w:szCs w:val="24"/>
              </w:rPr>
            </w:pPr>
            <w:r>
              <w:rPr>
                <w:sz w:val="24"/>
                <w:szCs w:val="24"/>
              </w:rPr>
              <w:t>Вентиляция</w:t>
            </w:r>
          </w:p>
        </w:tc>
        <w:tc>
          <w:tcPr>
            <w:tcW w:w="964" w:type="dxa"/>
            <w:vAlign w:val="center"/>
          </w:tcPr>
          <w:p>
            <w:pPr>
              <w:suppressAutoHyphens w:val="0"/>
              <w:autoSpaceDN/>
              <w:jc w:val="center"/>
              <w:textAlignment w:val="auto"/>
              <w:rPr>
                <w:sz w:val="24"/>
                <w:szCs w:val="24"/>
              </w:rPr>
            </w:pPr>
            <w:r>
              <w:rPr>
                <w:sz w:val="24"/>
                <w:szCs w:val="24"/>
              </w:rPr>
              <w:t>0,041</w:t>
            </w:r>
          </w:p>
        </w:tc>
        <w:tc>
          <w:tcPr>
            <w:tcW w:w="964" w:type="dxa"/>
            <w:vAlign w:val="center"/>
          </w:tcPr>
          <w:p>
            <w:pPr>
              <w:suppressAutoHyphens w:val="0"/>
              <w:autoSpaceDN/>
              <w:jc w:val="center"/>
              <w:textAlignment w:val="auto"/>
              <w:rPr>
                <w:sz w:val="24"/>
                <w:szCs w:val="24"/>
              </w:rPr>
            </w:pPr>
            <w:r>
              <w:rPr>
                <w:sz w:val="24"/>
                <w:szCs w:val="24"/>
              </w:rPr>
              <w:t>0,041</w:t>
            </w:r>
          </w:p>
        </w:tc>
        <w:tc>
          <w:tcPr>
            <w:tcW w:w="964" w:type="dxa"/>
            <w:vAlign w:val="center"/>
          </w:tcPr>
          <w:p>
            <w:pPr>
              <w:suppressAutoHyphens w:val="0"/>
              <w:autoSpaceDN/>
              <w:jc w:val="center"/>
              <w:textAlignment w:val="auto"/>
              <w:rPr>
                <w:sz w:val="24"/>
                <w:szCs w:val="24"/>
              </w:rPr>
            </w:pPr>
            <w:r>
              <w:rPr>
                <w:sz w:val="24"/>
                <w:szCs w:val="24"/>
              </w:rPr>
              <w:t>0,041</w:t>
            </w:r>
          </w:p>
        </w:tc>
        <w:tc>
          <w:tcPr>
            <w:tcW w:w="964" w:type="dxa"/>
            <w:vAlign w:val="center"/>
          </w:tcPr>
          <w:p>
            <w:pPr>
              <w:suppressAutoHyphens w:val="0"/>
              <w:autoSpaceDN/>
              <w:jc w:val="center"/>
              <w:textAlignment w:val="auto"/>
              <w:rPr>
                <w:sz w:val="24"/>
                <w:szCs w:val="24"/>
              </w:rPr>
            </w:pPr>
            <w:r>
              <w:rPr>
                <w:sz w:val="24"/>
                <w:szCs w:val="24"/>
              </w:rPr>
              <w:t>0,041</w:t>
            </w:r>
          </w:p>
        </w:tc>
        <w:tc>
          <w:tcPr>
            <w:tcW w:w="964" w:type="dxa"/>
            <w:vAlign w:val="center"/>
          </w:tcPr>
          <w:p>
            <w:pPr>
              <w:suppressAutoHyphens w:val="0"/>
              <w:autoSpaceDN/>
              <w:jc w:val="center"/>
              <w:textAlignment w:val="auto"/>
              <w:rPr>
                <w:sz w:val="24"/>
                <w:szCs w:val="24"/>
              </w:rPr>
            </w:pPr>
            <w:r>
              <w:rPr>
                <w:sz w:val="24"/>
                <w:szCs w:val="24"/>
              </w:rPr>
              <w:t>0,041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jc w:val="center"/>
              <w:textAlignment w:val="auto"/>
              <w:rPr>
                <w:sz w:val="24"/>
                <w:szCs w:val="24"/>
              </w:rPr>
            </w:pPr>
            <w:r>
              <w:rPr>
                <w:sz w:val="24"/>
                <w:szCs w:val="24"/>
              </w:rPr>
              <w:t>ГВС</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textAlignment w:val="auto"/>
              <w:rPr>
                <w:sz w:val="24"/>
                <w:szCs w:val="24"/>
              </w:rPr>
            </w:pPr>
            <w:r>
              <w:rPr>
                <w:sz w:val="24"/>
                <w:szCs w:val="24"/>
              </w:rPr>
              <w:t>Прочие потребители, в том числе:</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jc w:val="center"/>
              <w:textAlignment w:val="auto"/>
              <w:rPr>
                <w:sz w:val="24"/>
                <w:szCs w:val="24"/>
              </w:rPr>
            </w:pPr>
            <w:r>
              <w:rPr>
                <w:sz w:val="24"/>
                <w:szCs w:val="24"/>
              </w:rPr>
              <w:t>Отопление</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jc w:val="center"/>
              <w:textAlignment w:val="auto"/>
              <w:rPr>
                <w:sz w:val="24"/>
                <w:szCs w:val="24"/>
              </w:rPr>
            </w:pPr>
            <w:r>
              <w:rPr>
                <w:sz w:val="24"/>
                <w:szCs w:val="24"/>
              </w:rPr>
              <w:t>Вентиляция</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jc w:val="center"/>
              <w:textAlignment w:val="auto"/>
              <w:rPr>
                <w:sz w:val="24"/>
                <w:szCs w:val="24"/>
              </w:rPr>
            </w:pPr>
            <w:r>
              <w:rPr>
                <w:sz w:val="24"/>
                <w:szCs w:val="24"/>
              </w:rPr>
              <w:t>ГВС</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textAlignment w:val="auto"/>
              <w:rPr>
                <w:sz w:val="24"/>
                <w:szCs w:val="24"/>
              </w:rPr>
            </w:pPr>
            <w:r>
              <w:rPr>
                <w:sz w:val="24"/>
                <w:szCs w:val="24"/>
              </w:rPr>
              <w:t>Всего, в том числе:</w:t>
            </w:r>
          </w:p>
        </w:tc>
        <w:tc>
          <w:tcPr>
            <w:tcW w:w="964" w:type="dxa"/>
            <w:vAlign w:val="center"/>
          </w:tcPr>
          <w:p>
            <w:pPr>
              <w:suppressAutoHyphens w:val="0"/>
              <w:autoSpaceDN/>
              <w:jc w:val="center"/>
              <w:textAlignment w:val="auto"/>
              <w:rPr>
                <w:sz w:val="24"/>
                <w:szCs w:val="24"/>
              </w:rPr>
            </w:pPr>
            <w:r>
              <w:rPr>
                <w:sz w:val="24"/>
                <w:szCs w:val="24"/>
              </w:rPr>
              <w:t>0,248</w:t>
            </w:r>
          </w:p>
        </w:tc>
        <w:tc>
          <w:tcPr>
            <w:tcW w:w="964" w:type="dxa"/>
            <w:vAlign w:val="center"/>
          </w:tcPr>
          <w:p>
            <w:pPr>
              <w:suppressAutoHyphens w:val="0"/>
              <w:autoSpaceDN/>
              <w:jc w:val="center"/>
              <w:textAlignment w:val="auto"/>
              <w:rPr>
                <w:sz w:val="24"/>
                <w:szCs w:val="24"/>
              </w:rPr>
            </w:pPr>
            <w:r>
              <w:rPr>
                <w:sz w:val="24"/>
                <w:szCs w:val="24"/>
              </w:rPr>
              <w:t>0,248</w:t>
            </w:r>
          </w:p>
        </w:tc>
        <w:tc>
          <w:tcPr>
            <w:tcW w:w="964" w:type="dxa"/>
            <w:vAlign w:val="center"/>
          </w:tcPr>
          <w:p>
            <w:pPr>
              <w:suppressAutoHyphens w:val="0"/>
              <w:autoSpaceDN/>
              <w:jc w:val="center"/>
              <w:textAlignment w:val="auto"/>
              <w:rPr>
                <w:sz w:val="24"/>
                <w:szCs w:val="24"/>
              </w:rPr>
            </w:pPr>
            <w:r>
              <w:rPr>
                <w:sz w:val="24"/>
                <w:szCs w:val="24"/>
              </w:rPr>
              <w:t>0,248</w:t>
            </w:r>
          </w:p>
        </w:tc>
        <w:tc>
          <w:tcPr>
            <w:tcW w:w="964" w:type="dxa"/>
            <w:vAlign w:val="center"/>
          </w:tcPr>
          <w:p>
            <w:pPr>
              <w:suppressAutoHyphens w:val="0"/>
              <w:autoSpaceDN/>
              <w:jc w:val="center"/>
              <w:textAlignment w:val="auto"/>
              <w:rPr>
                <w:sz w:val="24"/>
                <w:szCs w:val="24"/>
              </w:rPr>
            </w:pPr>
            <w:r>
              <w:rPr>
                <w:sz w:val="24"/>
                <w:szCs w:val="24"/>
              </w:rPr>
              <w:t>0,248</w:t>
            </w:r>
          </w:p>
        </w:tc>
        <w:tc>
          <w:tcPr>
            <w:tcW w:w="964" w:type="dxa"/>
            <w:vAlign w:val="center"/>
          </w:tcPr>
          <w:p>
            <w:pPr>
              <w:suppressAutoHyphens w:val="0"/>
              <w:autoSpaceDN/>
              <w:jc w:val="center"/>
              <w:textAlignment w:val="auto"/>
              <w:rPr>
                <w:sz w:val="24"/>
                <w:szCs w:val="24"/>
              </w:rPr>
            </w:pPr>
            <w:r>
              <w:rPr>
                <w:sz w:val="24"/>
                <w:szCs w:val="24"/>
              </w:rPr>
              <w:t>0,248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jc w:val="center"/>
              <w:textAlignment w:val="auto"/>
              <w:rPr>
                <w:sz w:val="24"/>
                <w:szCs w:val="24"/>
              </w:rPr>
            </w:pPr>
            <w:r>
              <w:rPr>
                <w:sz w:val="24"/>
                <w:szCs w:val="24"/>
              </w:rPr>
              <w:t>Отопление</w:t>
            </w:r>
          </w:p>
        </w:tc>
        <w:tc>
          <w:tcPr>
            <w:tcW w:w="964" w:type="dxa"/>
            <w:vAlign w:val="center"/>
          </w:tcPr>
          <w:p>
            <w:pPr>
              <w:suppressAutoHyphens w:val="0"/>
              <w:autoSpaceDN/>
              <w:jc w:val="center"/>
              <w:textAlignment w:val="auto"/>
              <w:rPr>
                <w:sz w:val="24"/>
                <w:szCs w:val="24"/>
              </w:rPr>
            </w:pPr>
            <w:r>
              <w:rPr>
                <w:sz w:val="24"/>
                <w:szCs w:val="24"/>
              </w:rPr>
              <w:t>0,207</w:t>
            </w:r>
          </w:p>
        </w:tc>
        <w:tc>
          <w:tcPr>
            <w:tcW w:w="964" w:type="dxa"/>
            <w:vAlign w:val="center"/>
          </w:tcPr>
          <w:p>
            <w:pPr>
              <w:suppressAutoHyphens w:val="0"/>
              <w:autoSpaceDN/>
              <w:jc w:val="center"/>
              <w:textAlignment w:val="auto"/>
              <w:rPr>
                <w:sz w:val="24"/>
                <w:szCs w:val="24"/>
              </w:rPr>
            </w:pPr>
            <w:r>
              <w:rPr>
                <w:sz w:val="24"/>
                <w:szCs w:val="24"/>
              </w:rPr>
              <w:t>0,207</w:t>
            </w:r>
          </w:p>
        </w:tc>
        <w:tc>
          <w:tcPr>
            <w:tcW w:w="964" w:type="dxa"/>
            <w:vAlign w:val="center"/>
          </w:tcPr>
          <w:p>
            <w:pPr>
              <w:suppressAutoHyphens w:val="0"/>
              <w:autoSpaceDN/>
              <w:jc w:val="center"/>
              <w:textAlignment w:val="auto"/>
              <w:rPr>
                <w:sz w:val="24"/>
                <w:szCs w:val="24"/>
              </w:rPr>
            </w:pPr>
            <w:r>
              <w:rPr>
                <w:sz w:val="24"/>
                <w:szCs w:val="24"/>
              </w:rPr>
              <w:t>0,207</w:t>
            </w:r>
          </w:p>
        </w:tc>
        <w:tc>
          <w:tcPr>
            <w:tcW w:w="964" w:type="dxa"/>
            <w:vAlign w:val="center"/>
          </w:tcPr>
          <w:p>
            <w:pPr>
              <w:suppressAutoHyphens w:val="0"/>
              <w:autoSpaceDN/>
              <w:jc w:val="center"/>
              <w:textAlignment w:val="auto"/>
              <w:rPr>
                <w:sz w:val="24"/>
                <w:szCs w:val="24"/>
              </w:rPr>
            </w:pPr>
            <w:r>
              <w:rPr>
                <w:sz w:val="24"/>
                <w:szCs w:val="24"/>
              </w:rPr>
              <w:t>0,207</w:t>
            </w:r>
          </w:p>
        </w:tc>
        <w:tc>
          <w:tcPr>
            <w:tcW w:w="964" w:type="dxa"/>
            <w:vAlign w:val="center"/>
          </w:tcPr>
          <w:p>
            <w:pPr>
              <w:suppressAutoHyphens w:val="0"/>
              <w:autoSpaceDN/>
              <w:jc w:val="center"/>
              <w:textAlignment w:val="auto"/>
              <w:rPr>
                <w:sz w:val="24"/>
                <w:szCs w:val="24"/>
              </w:rPr>
            </w:pPr>
            <w:r>
              <w:rPr>
                <w:sz w:val="24"/>
                <w:szCs w:val="24"/>
              </w:rPr>
              <w:t>0,207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jc w:val="center"/>
              <w:textAlignment w:val="auto"/>
              <w:rPr>
                <w:sz w:val="24"/>
                <w:szCs w:val="24"/>
              </w:rPr>
            </w:pPr>
            <w:r>
              <w:rPr>
                <w:sz w:val="24"/>
                <w:szCs w:val="24"/>
              </w:rPr>
              <w:t>Вентиляция</w:t>
            </w:r>
          </w:p>
        </w:tc>
        <w:tc>
          <w:tcPr>
            <w:tcW w:w="964" w:type="dxa"/>
            <w:vAlign w:val="center"/>
          </w:tcPr>
          <w:p>
            <w:pPr>
              <w:suppressAutoHyphens w:val="0"/>
              <w:autoSpaceDN/>
              <w:jc w:val="center"/>
              <w:textAlignment w:val="auto"/>
              <w:rPr>
                <w:sz w:val="24"/>
                <w:szCs w:val="24"/>
              </w:rPr>
            </w:pPr>
            <w:r>
              <w:rPr>
                <w:sz w:val="24"/>
                <w:szCs w:val="24"/>
              </w:rPr>
              <w:t>0,041</w:t>
            </w:r>
          </w:p>
        </w:tc>
        <w:tc>
          <w:tcPr>
            <w:tcW w:w="964" w:type="dxa"/>
            <w:vAlign w:val="center"/>
          </w:tcPr>
          <w:p>
            <w:pPr>
              <w:suppressAutoHyphens w:val="0"/>
              <w:autoSpaceDN/>
              <w:jc w:val="center"/>
              <w:textAlignment w:val="auto"/>
              <w:rPr>
                <w:sz w:val="24"/>
                <w:szCs w:val="24"/>
              </w:rPr>
            </w:pPr>
            <w:r>
              <w:rPr>
                <w:sz w:val="24"/>
                <w:szCs w:val="24"/>
              </w:rPr>
              <w:t>0,041</w:t>
            </w:r>
          </w:p>
        </w:tc>
        <w:tc>
          <w:tcPr>
            <w:tcW w:w="964" w:type="dxa"/>
            <w:vAlign w:val="center"/>
          </w:tcPr>
          <w:p>
            <w:pPr>
              <w:suppressAutoHyphens w:val="0"/>
              <w:autoSpaceDN/>
              <w:jc w:val="center"/>
              <w:textAlignment w:val="auto"/>
              <w:rPr>
                <w:sz w:val="24"/>
                <w:szCs w:val="24"/>
              </w:rPr>
            </w:pPr>
            <w:r>
              <w:rPr>
                <w:sz w:val="24"/>
                <w:szCs w:val="24"/>
              </w:rPr>
              <w:t>0,041</w:t>
            </w:r>
          </w:p>
        </w:tc>
        <w:tc>
          <w:tcPr>
            <w:tcW w:w="964" w:type="dxa"/>
            <w:vAlign w:val="center"/>
          </w:tcPr>
          <w:p>
            <w:pPr>
              <w:suppressAutoHyphens w:val="0"/>
              <w:autoSpaceDN/>
              <w:jc w:val="center"/>
              <w:textAlignment w:val="auto"/>
              <w:rPr>
                <w:sz w:val="24"/>
                <w:szCs w:val="24"/>
              </w:rPr>
            </w:pPr>
            <w:r>
              <w:rPr>
                <w:sz w:val="24"/>
                <w:szCs w:val="24"/>
              </w:rPr>
              <w:t>0,041</w:t>
            </w:r>
          </w:p>
        </w:tc>
        <w:tc>
          <w:tcPr>
            <w:tcW w:w="964" w:type="dxa"/>
            <w:vAlign w:val="center"/>
          </w:tcPr>
          <w:p>
            <w:pPr>
              <w:suppressAutoHyphens w:val="0"/>
              <w:autoSpaceDN/>
              <w:jc w:val="center"/>
              <w:textAlignment w:val="auto"/>
              <w:rPr>
                <w:sz w:val="24"/>
                <w:szCs w:val="24"/>
              </w:rPr>
            </w:pPr>
            <w:r>
              <w:rPr>
                <w:sz w:val="24"/>
                <w:szCs w:val="24"/>
              </w:rPr>
              <w:t>0,041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jc w:val="center"/>
              <w:textAlignment w:val="auto"/>
              <w:rPr>
                <w:sz w:val="24"/>
                <w:szCs w:val="24"/>
              </w:rPr>
            </w:pPr>
            <w:r>
              <w:rPr>
                <w:sz w:val="24"/>
                <w:szCs w:val="24"/>
              </w:rPr>
              <w:t>ГВС</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c>
          <w:tcPr>
            <w:tcW w:w="964" w:type="dxa"/>
            <w:vAlign w:val="center"/>
          </w:tcPr>
          <w:p>
            <w:pPr>
              <w:suppressAutoHyphens w:val="0"/>
              <w:autoSpaceDN/>
              <w:jc w:val="center"/>
              <w:textAlignment w:val="auto"/>
              <w:rPr>
                <w:sz w:val="24"/>
                <w:szCs w:val="24"/>
              </w:rPr>
            </w:pPr>
            <w:r>
              <w:rPr>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820" w:type="dxa"/>
            <w:vAlign w:val="center"/>
          </w:tcPr>
          <w:p>
            <w:pPr>
              <w:suppressAutoHyphens w:val="0"/>
              <w:autoSpaceDN/>
              <w:jc w:val="center"/>
              <w:textAlignment w:val="auto"/>
              <w:rPr>
                <w:i/>
                <w:sz w:val="24"/>
                <w:szCs w:val="24"/>
              </w:rPr>
            </w:pPr>
          </w:p>
        </w:tc>
        <w:tc>
          <w:tcPr>
            <w:tcW w:w="964" w:type="dxa"/>
            <w:vAlign w:val="center"/>
          </w:tcPr>
          <w:p>
            <w:pPr>
              <w:suppressAutoHyphens w:val="0"/>
              <w:autoSpaceDN/>
              <w:jc w:val="center"/>
              <w:textAlignment w:val="auto"/>
              <w:rPr>
                <w:sz w:val="24"/>
                <w:szCs w:val="24"/>
              </w:rPr>
            </w:pPr>
          </w:p>
        </w:tc>
        <w:tc>
          <w:tcPr>
            <w:tcW w:w="964" w:type="dxa"/>
            <w:vAlign w:val="center"/>
          </w:tcPr>
          <w:p>
            <w:pPr>
              <w:suppressAutoHyphens w:val="0"/>
              <w:autoSpaceDN/>
              <w:jc w:val="center"/>
              <w:textAlignment w:val="auto"/>
              <w:rPr>
                <w:sz w:val="24"/>
                <w:szCs w:val="24"/>
              </w:rPr>
            </w:pPr>
          </w:p>
        </w:tc>
        <w:tc>
          <w:tcPr>
            <w:tcW w:w="964" w:type="dxa"/>
            <w:vAlign w:val="center"/>
          </w:tcPr>
          <w:p>
            <w:pPr>
              <w:suppressAutoHyphens w:val="0"/>
              <w:autoSpaceDN/>
              <w:jc w:val="center"/>
              <w:textAlignment w:val="auto"/>
              <w:rPr>
                <w:sz w:val="24"/>
                <w:szCs w:val="24"/>
              </w:rPr>
            </w:pPr>
          </w:p>
        </w:tc>
        <w:tc>
          <w:tcPr>
            <w:tcW w:w="964" w:type="dxa"/>
            <w:vAlign w:val="center"/>
          </w:tcPr>
          <w:p>
            <w:pPr>
              <w:suppressAutoHyphens w:val="0"/>
              <w:autoSpaceDN/>
              <w:jc w:val="center"/>
              <w:textAlignment w:val="auto"/>
              <w:rPr>
                <w:sz w:val="24"/>
                <w:szCs w:val="24"/>
              </w:rPr>
            </w:pPr>
          </w:p>
        </w:tc>
        <w:tc>
          <w:tcPr>
            <w:tcW w:w="964" w:type="dxa"/>
            <w:vAlign w:val="center"/>
          </w:tcPr>
          <w:p>
            <w:pPr>
              <w:suppressAutoHyphens w:val="0"/>
              <w:autoSpaceDN/>
              <w:jc w:val="center"/>
              <w:textAlignment w:val="auto"/>
              <w:rPr>
                <w:sz w:val="24"/>
                <w:szCs w:val="24"/>
              </w:rPr>
            </w:pPr>
          </w:p>
        </w:tc>
      </w:tr>
    </w:tbl>
    <w:p>
      <w:pPr>
        <w:suppressAutoHyphens w:val="0"/>
        <w:autoSpaceDN/>
        <w:ind w:firstLine="567"/>
        <w:jc w:val="right"/>
        <w:textAlignment w:val="auto"/>
        <w:rPr>
          <w:b/>
          <w:i/>
        </w:rPr>
      </w:pPr>
    </w:p>
    <w:p>
      <w:pPr>
        <w:suppressAutoHyphens w:val="0"/>
        <w:autoSpaceDN/>
        <w:spacing w:line="278" w:lineRule="exact"/>
        <w:ind w:right="-60" w:firstLine="567"/>
        <w:jc w:val="both"/>
        <w:textAlignment w:val="auto"/>
        <w:rPr>
          <w:b/>
        </w:rPr>
      </w:pPr>
    </w:p>
    <w:p>
      <w:pPr>
        <w:suppressAutoHyphens w:val="0"/>
        <w:autoSpaceDE w:val="0"/>
        <w:adjustRightInd w:val="0"/>
        <w:jc w:val="center"/>
        <w:textAlignment w:val="auto"/>
        <w:rPr>
          <w:b/>
          <w:bCs/>
          <w:iCs/>
        </w:rPr>
      </w:pPr>
    </w:p>
    <w:p>
      <w:pPr>
        <w:suppressAutoHyphens w:val="0"/>
        <w:autoSpaceDE w:val="0"/>
        <w:adjustRightInd w:val="0"/>
        <w:jc w:val="both"/>
        <w:textAlignment w:val="auto"/>
        <w:rPr>
          <w:b/>
          <w:bCs/>
          <w:iCs/>
          <w:sz w:val="28"/>
          <w:szCs w:val="28"/>
        </w:rPr>
      </w:pPr>
      <w:r>
        <w:rPr>
          <w:b/>
          <w:bCs/>
          <w:iCs/>
          <w:sz w:val="28"/>
          <w:szCs w:val="28"/>
        </w:rPr>
        <w:t>Раздел 2. Перспективные балансы располагаемой тепловой мощности источников тепловой энергии и тепловой нагрузки потребителей.</w:t>
      </w:r>
    </w:p>
    <w:p>
      <w:pPr>
        <w:suppressAutoHyphens w:val="0"/>
        <w:autoSpaceDE w:val="0"/>
        <w:adjustRightInd w:val="0"/>
        <w:jc w:val="both"/>
        <w:textAlignment w:val="auto"/>
        <w:rPr>
          <w:b/>
          <w:bCs/>
          <w:i/>
          <w:iCs/>
          <w:sz w:val="28"/>
          <w:szCs w:val="28"/>
        </w:rPr>
      </w:pPr>
    </w:p>
    <w:p>
      <w:pPr>
        <w:suppressAutoHyphens w:val="0"/>
        <w:autoSpaceDE w:val="0"/>
        <w:adjustRightInd w:val="0"/>
        <w:jc w:val="both"/>
        <w:textAlignment w:val="auto"/>
        <w:rPr>
          <w:bCs/>
          <w:iCs/>
          <w:sz w:val="28"/>
          <w:szCs w:val="28"/>
        </w:rPr>
      </w:pPr>
      <w:r>
        <w:rPr>
          <w:bCs/>
          <w:iCs/>
          <w:sz w:val="28"/>
          <w:szCs w:val="28"/>
        </w:rPr>
        <w:t xml:space="preserve">    Среди основных мероприятий по энергосбережению в системах теплоснабжения можно выделить оптимизацию систем теплоснабжения с учетом эффективного радиуса теплоснабжения. </w:t>
      </w:r>
    </w:p>
    <w:p>
      <w:pPr>
        <w:suppressAutoHyphens w:val="0"/>
        <w:autoSpaceDE w:val="0"/>
        <w:adjustRightInd w:val="0"/>
        <w:jc w:val="both"/>
        <w:textAlignment w:val="auto"/>
        <w:rPr>
          <w:bCs/>
          <w:iCs/>
          <w:sz w:val="28"/>
          <w:szCs w:val="28"/>
        </w:rPr>
      </w:pPr>
      <w:r>
        <w:rPr>
          <w:bCs/>
          <w:iCs/>
          <w:sz w:val="28"/>
          <w:szCs w:val="28"/>
        </w:rPr>
        <w:t xml:space="preserve">     Передача тепловой энергии на большие расстояния является экономически неэффективной.</w:t>
      </w:r>
    </w:p>
    <w:p>
      <w:pPr>
        <w:suppressAutoHyphens w:val="0"/>
        <w:autoSpaceDE w:val="0"/>
        <w:adjustRightInd w:val="0"/>
        <w:jc w:val="both"/>
        <w:textAlignment w:val="auto"/>
        <w:rPr>
          <w:bCs/>
          <w:iCs/>
          <w:sz w:val="28"/>
          <w:szCs w:val="28"/>
        </w:rPr>
      </w:pPr>
      <w:r>
        <w:rPr>
          <w:bCs/>
          <w:iCs/>
          <w:sz w:val="28"/>
          <w:szCs w:val="28"/>
        </w:rPr>
        <w:t xml:space="preserve">     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w:t>
      </w:r>
    </w:p>
    <w:p>
      <w:pPr>
        <w:suppressAutoHyphens w:val="0"/>
        <w:autoSpaceDE w:val="0"/>
        <w:adjustRightInd w:val="0"/>
        <w:jc w:val="both"/>
        <w:textAlignment w:val="auto"/>
        <w:rPr>
          <w:bCs/>
          <w:iCs/>
          <w:sz w:val="28"/>
          <w:szCs w:val="28"/>
        </w:rPr>
      </w:pPr>
      <w:r>
        <w:rPr>
          <w:bCs/>
          <w:iCs/>
          <w:sz w:val="28"/>
          <w:szCs w:val="28"/>
        </w:rP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pPr>
        <w:suppressAutoHyphens w:val="0"/>
        <w:autoSpaceDE w:val="0"/>
        <w:adjustRightInd w:val="0"/>
        <w:jc w:val="both"/>
        <w:textAlignment w:val="auto"/>
        <w:rPr>
          <w:bCs/>
          <w:iCs/>
          <w:sz w:val="28"/>
          <w:szCs w:val="28"/>
        </w:rPr>
      </w:pPr>
      <w:r>
        <w:rPr>
          <w:bCs/>
          <w:iCs/>
          <w:sz w:val="28"/>
          <w:szCs w:val="28"/>
        </w:rPr>
        <w:t xml:space="preserve">    Перспективные балансы тепловой мощности и тепловой нагрузки в перспективных зонах действия источников тепловой энергии равны существующим, так как в Генеральном плане Тормосиновского сельского поселения не предусмотрено изменение существующей схемы теплоснабжения Тормосиновского сельского поселения.</w:t>
      </w:r>
    </w:p>
    <w:p>
      <w:pPr>
        <w:suppressAutoHyphens w:val="0"/>
        <w:autoSpaceDE w:val="0"/>
        <w:adjustRightInd w:val="0"/>
        <w:jc w:val="both"/>
        <w:textAlignment w:val="auto"/>
        <w:rPr>
          <w:bCs/>
          <w:iCs/>
          <w:sz w:val="28"/>
          <w:szCs w:val="28"/>
        </w:rPr>
      </w:pPr>
      <w:r>
        <w:rPr>
          <w:bCs/>
          <w:iCs/>
          <w:sz w:val="28"/>
          <w:szCs w:val="28"/>
        </w:rPr>
        <w:t xml:space="preserve">        Увеличение радиусов действия существующих источников теплоснабжения градостроительным планом не предусмотрено.        </w:t>
      </w:r>
    </w:p>
    <w:p>
      <w:pPr>
        <w:suppressAutoHyphens w:val="0"/>
        <w:autoSpaceDE w:val="0"/>
        <w:adjustRightInd w:val="0"/>
        <w:jc w:val="both"/>
        <w:textAlignment w:val="auto"/>
        <w:rPr>
          <w:bCs/>
          <w:iCs/>
          <w:sz w:val="28"/>
          <w:szCs w:val="28"/>
        </w:rPr>
      </w:pPr>
      <w:r>
        <w:rPr>
          <w:bCs/>
          <w:iCs/>
          <w:sz w:val="28"/>
          <w:szCs w:val="28"/>
        </w:rPr>
        <w:t xml:space="preserve">  Теплоснабжение перспективных объектов, которые планируется разместить вне зоны действия существующих котельных, предлагается осуществить от автономных источников.</w:t>
      </w:r>
    </w:p>
    <w:p>
      <w:pPr>
        <w:suppressAutoHyphens w:val="0"/>
        <w:autoSpaceDE w:val="0"/>
        <w:adjustRightInd w:val="0"/>
        <w:jc w:val="both"/>
        <w:textAlignment w:val="auto"/>
        <w:rPr>
          <w:bCs/>
          <w:iCs/>
          <w:sz w:val="28"/>
          <w:szCs w:val="28"/>
        </w:rPr>
      </w:pPr>
      <w:r>
        <w:rPr>
          <w:bCs/>
          <w:iCs/>
          <w:sz w:val="28"/>
          <w:szCs w:val="28"/>
        </w:rPr>
        <w:t xml:space="preserve">         Для индивидуальных жилых домов предлагается устройство теплоснабжения от индивидуальных котлов. </w:t>
      </w:r>
    </w:p>
    <w:p>
      <w:pPr>
        <w:suppressAutoHyphens w:val="0"/>
        <w:autoSpaceDE w:val="0"/>
        <w:adjustRightInd w:val="0"/>
        <w:jc w:val="both"/>
        <w:textAlignment w:val="auto"/>
        <w:rPr>
          <w:bCs/>
          <w:iCs/>
          <w:sz w:val="28"/>
          <w:szCs w:val="28"/>
        </w:rPr>
      </w:pPr>
    </w:p>
    <w:p>
      <w:pPr>
        <w:suppressAutoHyphens w:val="0"/>
        <w:autoSpaceDE w:val="0"/>
        <w:adjustRightInd w:val="0"/>
        <w:jc w:val="both"/>
        <w:textAlignment w:val="auto"/>
        <w:rPr>
          <w:bCs/>
          <w:iCs/>
        </w:rPr>
      </w:pPr>
    </w:p>
    <w:p>
      <w:pPr>
        <w:suppressAutoHyphens w:val="0"/>
        <w:autoSpaceDE w:val="0"/>
        <w:adjustRightInd w:val="0"/>
        <w:jc w:val="both"/>
        <w:textAlignment w:val="auto"/>
        <w:rPr>
          <w:b/>
          <w:bCs/>
          <w:iCs/>
        </w:rPr>
      </w:pPr>
      <w:r>
        <w:rPr>
          <w:bCs/>
          <w:iCs/>
        </w:rPr>
        <w:t xml:space="preserve">        </w:t>
      </w:r>
    </w:p>
    <w:tbl>
      <w:tblPr>
        <w:tblStyle w:val="29"/>
        <w:tblW w:w="92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4"/>
        <w:gridCol w:w="1984"/>
        <w:gridCol w:w="1134"/>
        <w:gridCol w:w="992"/>
        <w:gridCol w:w="850"/>
        <w:gridCol w:w="850"/>
        <w:gridCol w:w="970"/>
        <w:gridCol w:w="970"/>
        <w:gridCol w:w="9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34" w:type="dxa"/>
            <w:vMerge w:val="restart"/>
            <w:vAlign w:val="center"/>
          </w:tcPr>
          <w:p>
            <w:pPr>
              <w:suppressAutoHyphens w:val="0"/>
              <w:autoSpaceDE w:val="0"/>
              <w:adjustRightInd w:val="0"/>
              <w:jc w:val="center"/>
              <w:textAlignment w:val="auto"/>
              <w:rPr>
                <w:bCs/>
                <w:iCs/>
                <w:sz w:val="24"/>
                <w:szCs w:val="24"/>
              </w:rPr>
            </w:pPr>
            <w:r>
              <w:rPr>
                <w:bCs/>
                <w:iCs/>
                <w:sz w:val="24"/>
                <w:szCs w:val="24"/>
              </w:rPr>
              <w:t>№ п/п</w:t>
            </w:r>
          </w:p>
        </w:tc>
        <w:tc>
          <w:tcPr>
            <w:tcW w:w="1984" w:type="dxa"/>
            <w:vMerge w:val="restart"/>
            <w:vAlign w:val="center"/>
          </w:tcPr>
          <w:p>
            <w:pPr>
              <w:suppressAutoHyphens w:val="0"/>
              <w:autoSpaceDE w:val="0"/>
              <w:adjustRightInd w:val="0"/>
              <w:jc w:val="center"/>
              <w:textAlignment w:val="auto"/>
              <w:rPr>
                <w:bCs/>
                <w:iCs/>
                <w:sz w:val="24"/>
                <w:szCs w:val="24"/>
              </w:rPr>
            </w:pPr>
            <w:r>
              <w:rPr>
                <w:bCs/>
                <w:iCs/>
                <w:sz w:val="24"/>
                <w:szCs w:val="24"/>
              </w:rPr>
              <w:t>Источник</w:t>
            </w:r>
          </w:p>
          <w:p>
            <w:pPr>
              <w:suppressAutoHyphens w:val="0"/>
              <w:autoSpaceDE w:val="0"/>
              <w:adjustRightInd w:val="0"/>
              <w:jc w:val="center"/>
              <w:textAlignment w:val="auto"/>
              <w:rPr>
                <w:bCs/>
                <w:iCs/>
                <w:sz w:val="24"/>
                <w:szCs w:val="24"/>
              </w:rPr>
            </w:pPr>
            <w:r>
              <w:rPr>
                <w:bCs/>
                <w:iCs/>
                <w:sz w:val="24"/>
                <w:szCs w:val="24"/>
              </w:rPr>
              <w:t>тепловой  энергии</w:t>
            </w:r>
          </w:p>
        </w:tc>
        <w:tc>
          <w:tcPr>
            <w:tcW w:w="1134" w:type="dxa"/>
            <w:vMerge w:val="restart"/>
            <w:vAlign w:val="center"/>
          </w:tcPr>
          <w:p>
            <w:pPr>
              <w:suppressAutoHyphens w:val="0"/>
              <w:autoSpaceDE w:val="0"/>
              <w:adjustRightInd w:val="0"/>
              <w:jc w:val="center"/>
              <w:textAlignment w:val="auto"/>
              <w:rPr>
                <w:bCs/>
                <w:iCs/>
                <w:sz w:val="24"/>
                <w:szCs w:val="24"/>
              </w:rPr>
            </w:pPr>
            <w:r>
              <w:rPr>
                <w:bCs/>
                <w:iCs/>
                <w:sz w:val="24"/>
                <w:szCs w:val="24"/>
              </w:rPr>
              <w:t>Адрес</w:t>
            </w:r>
          </w:p>
        </w:tc>
        <w:tc>
          <w:tcPr>
            <w:tcW w:w="1842" w:type="dxa"/>
            <w:gridSpan w:val="2"/>
            <w:vAlign w:val="center"/>
          </w:tcPr>
          <w:p>
            <w:pPr>
              <w:suppressAutoHyphens w:val="0"/>
              <w:autoSpaceDE w:val="0"/>
              <w:adjustRightInd w:val="0"/>
              <w:jc w:val="center"/>
              <w:textAlignment w:val="auto"/>
              <w:rPr>
                <w:bCs/>
                <w:iCs/>
                <w:sz w:val="24"/>
                <w:szCs w:val="24"/>
              </w:rPr>
            </w:pPr>
            <w:r>
              <w:rPr>
                <w:bCs/>
                <w:iCs/>
                <w:sz w:val="24"/>
                <w:szCs w:val="24"/>
              </w:rPr>
              <w:t>Присоединенная нагрузка</w:t>
            </w:r>
            <w:r>
              <w:rPr>
                <w:sz w:val="24"/>
                <w:szCs w:val="24"/>
              </w:rPr>
              <w:t xml:space="preserve"> </w:t>
            </w:r>
            <w:r>
              <w:rPr>
                <w:bCs/>
                <w:iCs/>
                <w:sz w:val="24"/>
                <w:szCs w:val="24"/>
              </w:rPr>
              <w:t>Гкал/час</w:t>
            </w:r>
          </w:p>
        </w:tc>
        <w:tc>
          <w:tcPr>
            <w:tcW w:w="1820" w:type="dxa"/>
            <w:gridSpan w:val="2"/>
            <w:vAlign w:val="center"/>
          </w:tcPr>
          <w:p>
            <w:pPr>
              <w:suppressAutoHyphens w:val="0"/>
              <w:autoSpaceDE w:val="0"/>
              <w:adjustRightInd w:val="0"/>
              <w:jc w:val="center"/>
              <w:textAlignment w:val="auto"/>
              <w:rPr>
                <w:bCs/>
                <w:iCs/>
                <w:sz w:val="24"/>
                <w:szCs w:val="24"/>
              </w:rPr>
            </w:pPr>
            <w:r>
              <w:rPr>
                <w:bCs/>
                <w:iCs/>
                <w:sz w:val="24"/>
                <w:szCs w:val="24"/>
              </w:rPr>
              <w:t>Установленная</w:t>
            </w:r>
          </w:p>
          <w:p>
            <w:pPr>
              <w:suppressAutoHyphens w:val="0"/>
              <w:autoSpaceDE w:val="0"/>
              <w:adjustRightInd w:val="0"/>
              <w:jc w:val="center"/>
              <w:textAlignment w:val="auto"/>
              <w:rPr>
                <w:bCs/>
                <w:iCs/>
                <w:sz w:val="24"/>
                <w:szCs w:val="24"/>
              </w:rPr>
            </w:pPr>
            <w:r>
              <w:rPr>
                <w:bCs/>
                <w:iCs/>
                <w:sz w:val="24"/>
                <w:szCs w:val="24"/>
              </w:rPr>
              <w:t>мощность</w:t>
            </w:r>
            <w:r>
              <w:rPr>
                <w:sz w:val="24"/>
                <w:szCs w:val="24"/>
              </w:rPr>
              <w:t xml:space="preserve"> </w:t>
            </w:r>
            <w:r>
              <w:rPr>
                <w:bCs/>
                <w:iCs/>
                <w:sz w:val="24"/>
                <w:szCs w:val="24"/>
              </w:rPr>
              <w:t>Гкал/час</w:t>
            </w:r>
          </w:p>
        </w:tc>
        <w:tc>
          <w:tcPr>
            <w:tcW w:w="1940" w:type="dxa"/>
            <w:gridSpan w:val="2"/>
          </w:tcPr>
          <w:p>
            <w:pPr>
              <w:suppressAutoHyphens w:val="0"/>
              <w:autoSpaceDE w:val="0"/>
              <w:adjustRightInd w:val="0"/>
              <w:jc w:val="center"/>
              <w:textAlignment w:val="auto"/>
              <w:rPr>
                <w:bCs/>
                <w:iCs/>
                <w:sz w:val="24"/>
                <w:szCs w:val="24"/>
              </w:rPr>
            </w:pPr>
            <w:r>
              <w:rPr>
                <w:bCs/>
                <w:iCs/>
                <w:sz w:val="24"/>
                <w:szCs w:val="24"/>
              </w:rPr>
              <w:t>Кол-во</w:t>
            </w:r>
          </w:p>
          <w:p>
            <w:pPr>
              <w:suppressAutoHyphens w:val="0"/>
              <w:autoSpaceDE w:val="0"/>
              <w:adjustRightInd w:val="0"/>
              <w:jc w:val="center"/>
              <w:textAlignment w:val="auto"/>
              <w:rPr>
                <w:bCs/>
                <w:iCs/>
                <w:sz w:val="24"/>
                <w:szCs w:val="24"/>
              </w:rPr>
            </w:pPr>
            <w:r>
              <w:rPr>
                <w:bCs/>
                <w:iCs/>
                <w:sz w:val="24"/>
                <w:szCs w:val="24"/>
              </w:rPr>
              <w:t>подключенных потребителей</w:t>
            </w:r>
            <w:r>
              <w:rPr>
                <w:sz w:val="24"/>
                <w:szCs w:val="24"/>
              </w:rPr>
              <w:t xml:space="preserve">  </w:t>
            </w:r>
            <w:r>
              <w:rPr>
                <w:bCs/>
                <w:iCs/>
                <w:sz w:val="24"/>
                <w:szCs w:val="24"/>
              </w:rPr>
              <w:t>Шт.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34" w:type="dxa"/>
            <w:vMerge w:val="continue"/>
            <w:vAlign w:val="center"/>
          </w:tcPr>
          <w:p>
            <w:pPr>
              <w:suppressAutoHyphens w:val="0"/>
              <w:autoSpaceDE w:val="0"/>
              <w:adjustRightInd w:val="0"/>
              <w:jc w:val="center"/>
              <w:textAlignment w:val="auto"/>
              <w:rPr>
                <w:bCs/>
                <w:iCs/>
                <w:sz w:val="24"/>
                <w:szCs w:val="24"/>
              </w:rPr>
            </w:pPr>
          </w:p>
        </w:tc>
        <w:tc>
          <w:tcPr>
            <w:tcW w:w="1984" w:type="dxa"/>
            <w:vMerge w:val="continue"/>
            <w:vAlign w:val="center"/>
          </w:tcPr>
          <w:p>
            <w:pPr>
              <w:suppressAutoHyphens w:val="0"/>
              <w:autoSpaceDE w:val="0"/>
              <w:adjustRightInd w:val="0"/>
              <w:jc w:val="center"/>
              <w:textAlignment w:val="auto"/>
              <w:rPr>
                <w:bCs/>
                <w:iCs/>
                <w:sz w:val="24"/>
                <w:szCs w:val="24"/>
              </w:rPr>
            </w:pPr>
          </w:p>
        </w:tc>
        <w:tc>
          <w:tcPr>
            <w:tcW w:w="1134" w:type="dxa"/>
            <w:vMerge w:val="continue"/>
            <w:vAlign w:val="center"/>
          </w:tcPr>
          <w:p>
            <w:pPr>
              <w:suppressAutoHyphens w:val="0"/>
              <w:autoSpaceDE w:val="0"/>
              <w:adjustRightInd w:val="0"/>
              <w:jc w:val="center"/>
              <w:textAlignment w:val="auto"/>
              <w:rPr>
                <w:bCs/>
                <w:iCs/>
                <w:sz w:val="24"/>
                <w:szCs w:val="24"/>
              </w:rPr>
            </w:pPr>
          </w:p>
        </w:tc>
        <w:tc>
          <w:tcPr>
            <w:tcW w:w="992" w:type="dxa"/>
            <w:vAlign w:val="center"/>
          </w:tcPr>
          <w:p>
            <w:pPr>
              <w:suppressAutoHyphens w:val="0"/>
              <w:autoSpaceDE w:val="0"/>
              <w:adjustRightInd w:val="0"/>
              <w:jc w:val="center"/>
              <w:textAlignment w:val="auto"/>
              <w:rPr>
                <w:bCs/>
                <w:iCs/>
                <w:sz w:val="24"/>
                <w:szCs w:val="24"/>
              </w:rPr>
            </w:pPr>
            <w:r>
              <w:rPr>
                <w:bCs/>
                <w:iCs/>
                <w:sz w:val="24"/>
                <w:szCs w:val="24"/>
              </w:rPr>
              <w:t>существующая</w:t>
            </w:r>
          </w:p>
        </w:tc>
        <w:tc>
          <w:tcPr>
            <w:tcW w:w="850" w:type="dxa"/>
            <w:vAlign w:val="center"/>
          </w:tcPr>
          <w:p>
            <w:pPr>
              <w:suppressAutoHyphens w:val="0"/>
              <w:autoSpaceDE w:val="0"/>
              <w:adjustRightInd w:val="0"/>
              <w:jc w:val="center"/>
              <w:textAlignment w:val="auto"/>
              <w:rPr>
                <w:bCs/>
                <w:iCs/>
                <w:sz w:val="24"/>
                <w:szCs w:val="24"/>
              </w:rPr>
            </w:pPr>
            <w:r>
              <w:rPr>
                <w:bCs/>
                <w:iCs/>
                <w:sz w:val="24"/>
                <w:szCs w:val="24"/>
              </w:rPr>
              <w:t>перспективная</w:t>
            </w:r>
          </w:p>
        </w:tc>
        <w:tc>
          <w:tcPr>
            <w:tcW w:w="850" w:type="dxa"/>
            <w:vAlign w:val="center"/>
          </w:tcPr>
          <w:p>
            <w:pPr>
              <w:suppressAutoHyphens w:val="0"/>
              <w:autoSpaceDE w:val="0"/>
              <w:adjustRightInd w:val="0"/>
              <w:jc w:val="center"/>
              <w:textAlignment w:val="auto"/>
              <w:rPr>
                <w:bCs/>
                <w:iCs/>
                <w:sz w:val="24"/>
                <w:szCs w:val="24"/>
              </w:rPr>
            </w:pPr>
            <w:r>
              <w:rPr>
                <w:bCs/>
                <w:iCs/>
                <w:sz w:val="24"/>
                <w:szCs w:val="24"/>
              </w:rPr>
              <w:t>существующая</w:t>
            </w:r>
          </w:p>
        </w:tc>
        <w:tc>
          <w:tcPr>
            <w:tcW w:w="970" w:type="dxa"/>
            <w:vAlign w:val="center"/>
          </w:tcPr>
          <w:p>
            <w:pPr>
              <w:suppressAutoHyphens w:val="0"/>
              <w:autoSpaceDE w:val="0"/>
              <w:adjustRightInd w:val="0"/>
              <w:jc w:val="center"/>
              <w:textAlignment w:val="auto"/>
              <w:rPr>
                <w:bCs/>
                <w:iCs/>
                <w:sz w:val="24"/>
                <w:szCs w:val="24"/>
              </w:rPr>
            </w:pPr>
            <w:r>
              <w:rPr>
                <w:bCs/>
                <w:iCs/>
                <w:sz w:val="24"/>
                <w:szCs w:val="24"/>
              </w:rPr>
              <w:t>перспективная</w:t>
            </w:r>
          </w:p>
        </w:tc>
        <w:tc>
          <w:tcPr>
            <w:tcW w:w="970" w:type="dxa"/>
            <w:vAlign w:val="center"/>
          </w:tcPr>
          <w:p>
            <w:pPr>
              <w:suppressAutoHyphens w:val="0"/>
              <w:autoSpaceDE w:val="0"/>
              <w:adjustRightInd w:val="0"/>
              <w:jc w:val="center"/>
              <w:textAlignment w:val="auto"/>
              <w:rPr>
                <w:bCs/>
                <w:iCs/>
                <w:sz w:val="24"/>
                <w:szCs w:val="24"/>
              </w:rPr>
            </w:pPr>
            <w:r>
              <w:rPr>
                <w:bCs/>
                <w:iCs/>
                <w:sz w:val="24"/>
                <w:szCs w:val="24"/>
              </w:rPr>
              <w:t>существующая</w:t>
            </w:r>
          </w:p>
        </w:tc>
        <w:tc>
          <w:tcPr>
            <w:tcW w:w="970" w:type="dxa"/>
            <w:vAlign w:val="center"/>
          </w:tcPr>
          <w:p>
            <w:pPr>
              <w:suppressAutoHyphens w:val="0"/>
              <w:autoSpaceDE w:val="0"/>
              <w:adjustRightInd w:val="0"/>
              <w:jc w:val="center"/>
              <w:textAlignment w:val="auto"/>
              <w:rPr>
                <w:bCs/>
                <w:iCs/>
                <w:sz w:val="24"/>
                <w:szCs w:val="24"/>
              </w:rPr>
            </w:pPr>
            <w:r>
              <w:rPr>
                <w:bCs/>
                <w:iCs/>
                <w:sz w:val="24"/>
                <w:szCs w:val="24"/>
              </w:rPr>
              <w:t>перспективная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9" w:hRule="atLeast"/>
        </w:trPr>
        <w:tc>
          <w:tcPr>
            <w:tcW w:w="534" w:type="dxa"/>
            <w:vAlign w:val="center"/>
          </w:tcPr>
          <w:p>
            <w:pPr>
              <w:suppressAutoHyphens w:val="0"/>
              <w:autoSpaceDE w:val="0"/>
              <w:adjustRightInd w:val="0"/>
              <w:jc w:val="center"/>
              <w:textAlignment w:val="auto"/>
              <w:rPr>
                <w:bCs/>
                <w:iCs/>
                <w:sz w:val="24"/>
                <w:szCs w:val="24"/>
              </w:rPr>
            </w:pPr>
            <w:r>
              <w:rPr>
                <w:bCs/>
                <w:iCs/>
                <w:sz w:val="24"/>
                <w:szCs w:val="24"/>
              </w:rPr>
              <w:t>1</w:t>
            </w:r>
          </w:p>
        </w:tc>
        <w:tc>
          <w:tcPr>
            <w:tcW w:w="1984" w:type="dxa"/>
            <w:vAlign w:val="center"/>
          </w:tcPr>
          <w:p>
            <w:pPr>
              <w:suppressAutoHyphens w:val="0"/>
              <w:autoSpaceDE w:val="0"/>
              <w:adjustRightInd w:val="0"/>
              <w:jc w:val="center"/>
              <w:textAlignment w:val="auto"/>
              <w:rPr>
                <w:bCs/>
                <w:iCs/>
                <w:sz w:val="24"/>
                <w:szCs w:val="24"/>
              </w:rPr>
            </w:pPr>
            <w:r>
              <w:rPr>
                <w:bCs/>
                <w:iCs/>
                <w:sz w:val="24"/>
                <w:szCs w:val="24"/>
              </w:rPr>
              <w:t>Котельная №2 х.Тормосин</w:t>
            </w:r>
          </w:p>
        </w:tc>
        <w:tc>
          <w:tcPr>
            <w:tcW w:w="1134" w:type="dxa"/>
            <w:vAlign w:val="center"/>
          </w:tcPr>
          <w:p>
            <w:pPr>
              <w:suppressAutoHyphens w:val="0"/>
              <w:autoSpaceDE w:val="0"/>
              <w:adjustRightInd w:val="0"/>
              <w:jc w:val="center"/>
              <w:textAlignment w:val="auto"/>
              <w:rPr>
                <w:bCs/>
                <w:iCs/>
                <w:sz w:val="24"/>
                <w:szCs w:val="24"/>
              </w:rPr>
            </w:pPr>
            <w:r>
              <w:rPr>
                <w:bCs/>
                <w:iCs/>
                <w:sz w:val="24"/>
                <w:szCs w:val="24"/>
              </w:rPr>
              <w:t>х. Тормосин</w:t>
            </w:r>
          </w:p>
        </w:tc>
        <w:tc>
          <w:tcPr>
            <w:tcW w:w="992" w:type="dxa"/>
            <w:vAlign w:val="center"/>
          </w:tcPr>
          <w:p>
            <w:pPr>
              <w:suppressAutoHyphens w:val="0"/>
              <w:autoSpaceDE w:val="0"/>
              <w:adjustRightInd w:val="0"/>
              <w:jc w:val="center"/>
              <w:textAlignment w:val="auto"/>
              <w:rPr>
                <w:bCs/>
                <w:iCs/>
                <w:sz w:val="24"/>
                <w:szCs w:val="24"/>
              </w:rPr>
            </w:pPr>
            <w:r>
              <w:rPr>
                <w:bCs/>
                <w:iCs/>
                <w:sz w:val="24"/>
                <w:szCs w:val="24"/>
              </w:rPr>
              <w:t>0,247</w:t>
            </w:r>
          </w:p>
        </w:tc>
        <w:tc>
          <w:tcPr>
            <w:tcW w:w="850" w:type="dxa"/>
            <w:vAlign w:val="center"/>
          </w:tcPr>
          <w:p>
            <w:pPr>
              <w:suppressAutoHyphens w:val="0"/>
              <w:autoSpaceDE w:val="0"/>
              <w:adjustRightInd w:val="0"/>
              <w:jc w:val="center"/>
              <w:textAlignment w:val="auto"/>
              <w:rPr>
                <w:bCs/>
                <w:iCs/>
                <w:sz w:val="24"/>
                <w:szCs w:val="24"/>
              </w:rPr>
            </w:pPr>
            <w:r>
              <w:rPr>
                <w:bCs/>
                <w:iCs/>
                <w:sz w:val="24"/>
                <w:szCs w:val="24"/>
              </w:rPr>
              <w:t>0,247</w:t>
            </w:r>
          </w:p>
        </w:tc>
        <w:tc>
          <w:tcPr>
            <w:tcW w:w="850" w:type="dxa"/>
            <w:vAlign w:val="center"/>
          </w:tcPr>
          <w:p>
            <w:pPr>
              <w:suppressAutoHyphens w:val="0"/>
              <w:autoSpaceDE w:val="0"/>
              <w:adjustRightInd w:val="0"/>
              <w:jc w:val="center"/>
              <w:textAlignment w:val="auto"/>
              <w:rPr>
                <w:bCs/>
                <w:iCs/>
                <w:sz w:val="24"/>
                <w:szCs w:val="24"/>
              </w:rPr>
            </w:pPr>
            <w:r>
              <w:rPr>
                <w:bCs/>
                <w:iCs/>
                <w:sz w:val="24"/>
                <w:szCs w:val="24"/>
              </w:rPr>
              <w:t>0,645</w:t>
            </w:r>
          </w:p>
        </w:tc>
        <w:tc>
          <w:tcPr>
            <w:tcW w:w="970" w:type="dxa"/>
            <w:vAlign w:val="center"/>
          </w:tcPr>
          <w:p>
            <w:pPr>
              <w:suppressAutoHyphens w:val="0"/>
              <w:autoSpaceDE w:val="0"/>
              <w:adjustRightInd w:val="0"/>
              <w:jc w:val="center"/>
              <w:textAlignment w:val="auto"/>
              <w:rPr>
                <w:bCs/>
                <w:iCs/>
                <w:sz w:val="24"/>
                <w:szCs w:val="24"/>
              </w:rPr>
            </w:pPr>
            <w:r>
              <w:rPr>
                <w:bCs/>
                <w:iCs/>
                <w:sz w:val="24"/>
                <w:szCs w:val="24"/>
              </w:rPr>
              <w:t>0,6</w:t>
            </w:r>
          </w:p>
        </w:tc>
        <w:tc>
          <w:tcPr>
            <w:tcW w:w="970" w:type="dxa"/>
            <w:vAlign w:val="center"/>
          </w:tcPr>
          <w:p>
            <w:pPr>
              <w:suppressAutoHyphens w:val="0"/>
              <w:autoSpaceDE w:val="0"/>
              <w:adjustRightInd w:val="0"/>
              <w:jc w:val="center"/>
              <w:textAlignment w:val="auto"/>
              <w:rPr>
                <w:bCs/>
                <w:iCs/>
                <w:sz w:val="24"/>
                <w:szCs w:val="24"/>
              </w:rPr>
            </w:pPr>
            <w:r>
              <w:rPr>
                <w:bCs/>
                <w:iCs/>
                <w:sz w:val="24"/>
                <w:szCs w:val="24"/>
              </w:rPr>
              <w:t>4</w:t>
            </w:r>
          </w:p>
        </w:tc>
        <w:tc>
          <w:tcPr>
            <w:tcW w:w="970" w:type="dxa"/>
            <w:vAlign w:val="center"/>
          </w:tcPr>
          <w:p>
            <w:pPr>
              <w:suppressAutoHyphens w:val="0"/>
              <w:autoSpaceDE w:val="0"/>
              <w:adjustRightInd w:val="0"/>
              <w:jc w:val="center"/>
              <w:textAlignment w:val="auto"/>
              <w:rPr>
                <w:bCs/>
                <w:iCs/>
                <w:sz w:val="24"/>
                <w:szCs w:val="24"/>
              </w:rPr>
            </w:pPr>
            <w:r>
              <w:rPr>
                <w:bCs/>
                <w:iCs/>
                <w:sz w:val="24"/>
                <w:szCs w:val="24"/>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9" w:hRule="atLeast"/>
        </w:trPr>
        <w:tc>
          <w:tcPr>
            <w:tcW w:w="534" w:type="dxa"/>
            <w:vAlign w:val="center"/>
          </w:tcPr>
          <w:p>
            <w:pPr>
              <w:suppressAutoHyphens w:val="0"/>
              <w:autoSpaceDE w:val="0"/>
              <w:adjustRightInd w:val="0"/>
              <w:jc w:val="center"/>
              <w:textAlignment w:val="auto"/>
              <w:rPr>
                <w:bCs/>
                <w:iCs/>
                <w:sz w:val="24"/>
                <w:szCs w:val="24"/>
              </w:rPr>
            </w:pPr>
            <w:r>
              <w:rPr>
                <w:bCs/>
                <w:iCs/>
                <w:sz w:val="24"/>
                <w:szCs w:val="24"/>
              </w:rPr>
              <w:t>2</w:t>
            </w:r>
          </w:p>
        </w:tc>
        <w:tc>
          <w:tcPr>
            <w:tcW w:w="1984" w:type="dxa"/>
            <w:vAlign w:val="center"/>
          </w:tcPr>
          <w:p>
            <w:pPr>
              <w:suppressAutoHyphens w:val="0"/>
              <w:autoSpaceDE w:val="0"/>
              <w:adjustRightInd w:val="0"/>
              <w:jc w:val="center"/>
              <w:textAlignment w:val="auto"/>
              <w:rPr>
                <w:bCs/>
                <w:iCs/>
                <w:sz w:val="24"/>
                <w:szCs w:val="24"/>
              </w:rPr>
            </w:pPr>
            <w:r>
              <w:rPr>
                <w:bCs/>
                <w:iCs/>
                <w:sz w:val="24"/>
                <w:szCs w:val="24"/>
              </w:rPr>
              <w:t>Котельная №1 МКОУ «Тормосиновская СОШ»</w:t>
            </w:r>
          </w:p>
        </w:tc>
        <w:tc>
          <w:tcPr>
            <w:tcW w:w="1134" w:type="dxa"/>
            <w:vAlign w:val="center"/>
          </w:tcPr>
          <w:p>
            <w:pPr>
              <w:jc w:val="center"/>
              <w:rPr>
                <w:sz w:val="24"/>
                <w:szCs w:val="24"/>
              </w:rPr>
            </w:pPr>
            <w:r>
              <w:rPr>
                <w:sz w:val="24"/>
                <w:szCs w:val="24"/>
              </w:rPr>
              <w:t>х. Тор-мосин</w:t>
            </w:r>
          </w:p>
        </w:tc>
        <w:tc>
          <w:tcPr>
            <w:tcW w:w="992" w:type="dxa"/>
            <w:vAlign w:val="center"/>
          </w:tcPr>
          <w:p>
            <w:pPr>
              <w:suppressAutoHyphens w:val="0"/>
              <w:autoSpaceDE w:val="0"/>
              <w:adjustRightInd w:val="0"/>
              <w:jc w:val="center"/>
              <w:textAlignment w:val="auto"/>
              <w:rPr>
                <w:bCs/>
                <w:iCs/>
                <w:sz w:val="24"/>
                <w:szCs w:val="24"/>
              </w:rPr>
            </w:pPr>
            <w:r>
              <w:rPr>
                <w:bCs/>
                <w:iCs/>
                <w:sz w:val="24"/>
                <w:szCs w:val="24"/>
              </w:rPr>
              <w:t>0,260</w:t>
            </w:r>
          </w:p>
        </w:tc>
        <w:tc>
          <w:tcPr>
            <w:tcW w:w="850" w:type="dxa"/>
            <w:vAlign w:val="center"/>
          </w:tcPr>
          <w:p>
            <w:pPr>
              <w:suppressAutoHyphens w:val="0"/>
              <w:autoSpaceDE w:val="0"/>
              <w:adjustRightInd w:val="0"/>
              <w:jc w:val="center"/>
              <w:textAlignment w:val="auto"/>
              <w:rPr>
                <w:bCs/>
                <w:iCs/>
                <w:sz w:val="24"/>
                <w:szCs w:val="24"/>
              </w:rPr>
            </w:pPr>
            <w:r>
              <w:rPr>
                <w:bCs/>
                <w:iCs/>
                <w:sz w:val="24"/>
                <w:szCs w:val="24"/>
              </w:rPr>
              <w:t>0,260</w:t>
            </w:r>
          </w:p>
        </w:tc>
        <w:tc>
          <w:tcPr>
            <w:tcW w:w="850" w:type="dxa"/>
            <w:vAlign w:val="center"/>
          </w:tcPr>
          <w:p>
            <w:pPr>
              <w:autoSpaceDE w:val="0"/>
              <w:adjustRightInd w:val="0"/>
              <w:jc w:val="center"/>
              <w:textAlignment w:val="auto"/>
              <w:rPr>
                <w:bCs/>
                <w:iCs/>
                <w:sz w:val="24"/>
                <w:szCs w:val="24"/>
              </w:rPr>
            </w:pPr>
            <w:r>
              <w:rPr>
                <w:bCs/>
                <w:iCs/>
                <w:sz w:val="24"/>
                <w:szCs w:val="24"/>
              </w:rPr>
              <w:t>1,084</w:t>
            </w:r>
          </w:p>
        </w:tc>
        <w:tc>
          <w:tcPr>
            <w:tcW w:w="970" w:type="dxa"/>
            <w:vAlign w:val="center"/>
          </w:tcPr>
          <w:p>
            <w:pPr>
              <w:suppressAutoHyphens w:val="0"/>
              <w:autoSpaceDE w:val="0"/>
              <w:adjustRightInd w:val="0"/>
              <w:jc w:val="center"/>
              <w:textAlignment w:val="auto"/>
              <w:rPr>
                <w:bCs/>
                <w:iCs/>
                <w:sz w:val="24"/>
                <w:szCs w:val="24"/>
              </w:rPr>
            </w:pPr>
            <w:r>
              <w:rPr>
                <w:bCs/>
                <w:iCs/>
                <w:sz w:val="24"/>
                <w:szCs w:val="24"/>
              </w:rPr>
              <w:t>0,6</w:t>
            </w:r>
          </w:p>
        </w:tc>
        <w:tc>
          <w:tcPr>
            <w:tcW w:w="970" w:type="dxa"/>
            <w:vAlign w:val="center"/>
          </w:tcPr>
          <w:p>
            <w:pPr>
              <w:suppressAutoHyphens w:val="0"/>
              <w:autoSpaceDE w:val="0"/>
              <w:adjustRightInd w:val="0"/>
              <w:jc w:val="center"/>
              <w:textAlignment w:val="auto"/>
              <w:rPr>
                <w:bCs/>
                <w:iCs/>
                <w:sz w:val="24"/>
                <w:szCs w:val="24"/>
              </w:rPr>
            </w:pPr>
            <w:r>
              <w:rPr>
                <w:bCs/>
                <w:iCs/>
                <w:sz w:val="24"/>
                <w:szCs w:val="24"/>
              </w:rPr>
              <w:t>1</w:t>
            </w:r>
          </w:p>
        </w:tc>
        <w:tc>
          <w:tcPr>
            <w:tcW w:w="970" w:type="dxa"/>
            <w:vAlign w:val="center"/>
          </w:tcPr>
          <w:p>
            <w:pPr>
              <w:suppressAutoHyphens w:val="0"/>
              <w:autoSpaceDE w:val="0"/>
              <w:adjustRightInd w:val="0"/>
              <w:jc w:val="center"/>
              <w:textAlignment w:val="auto"/>
              <w:rPr>
                <w:bCs/>
                <w:iCs/>
                <w:sz w:val="24"/>
                <w:szCs w:val="24"/>
              </w:rPr>
            </w:pPr>
            <w:r>
              <w:rPr>
                <w:bCs/>
                <w:iCs/>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9" w:hRule="atLeast"/>
        </w:trPr>
        <w:tc>
          <w:tcPr>
            <w:tcW w:w="534" w:type="dxa"/>
            <w:vAlign w:val="center"/>
          </w:tcPr>
          <w:p>
            <w:pPr>
              <w:suppressAutoHyphens w:val="0"/>
              <w:autoSpaceDE w:val="0"/>
              <w:adjustRightInd w:val="0"/>
              <w:jc w:val="center"/>
              <w:textAlignment w:val="auto"/>
              <w:rPr>
                <w:bCs/>
                <w:iCs/>
                <w:sz w:val="24"/>
                <w:szCs w:val="24"/>
              </w:rPr>
            </w:pPr>
            <w:r>
              <w:rPr>
                <w:bCs/>
                <w:iCs/>
                <w:sz w:val="24"/>
                <w:szCs w:val="24"/>
              </w:rPr>
              <w:t>3</w:t>
            </w:r>
          </w:p>
        </w:tc>
        <w:tc>
          <w:tcPr>
            <w:tcW w:w="1984" w:type="dxa"/>
            <w:vAlign w:val="center"/>
          </w:tcPr>
          <w:p>
            <w:pPr>
              <w:suppressAutoHyphens w:val="0"/>
              <w:autoSpaceDE w:val="0"/>
              <w:adjustRightInd w:val="0"/>
              <w:jc w:val="center"/>
              <w:textAlignment w:val="auto"/>
              <w:rPr>
                <w:bCs/>
                <w:iCs/>
                <w:sz w:val="24"/>
                <w:szCs w:val="24"/>
              </w:rPr>
            </w:pPr>
            <w:r>
              <w:rPr>
                <w:bCs/>
                <w:iCs/>
                <w:sz w:val="24"/>
                <w:szCs w:val="24"/>
              </w:rPr>
              <w:t>Котельная  ГОУ «Тормосиновская ШИ ДСиДОБПР»</w:t>
            </w:r>
          </w:p>
        </w:tc>
        <w:tc>
          <w:tcPr>
            <w:tcW w:w="1134" w:type="dxa"/>
            <w:vAlign w:val="center"/>
          </w:tcPr>
          <w:p>
            <w:pPr>
              <w:jc w:val="center"/>
              <w:rPr>
                <w:sz w:val="24"/>
                <w:szCs w:val="24"/>
              </w:rPr>
            </w:pPr>
            <w:r>
              <w:rPr>
                <w:sz w:val="24"/>
                <w:szCs w:val="24"/>
              </w:rPr>
              <w:t>х. Тор-мосин</w:t>
            </w:r>
          </w:p>
        </w:tc>
        <w:tc>
          <w:tcPr>
            <w:tcW w:w="992" w:type="dxa"/>
            <w:vAlign w:val="center"/>
          </w:tcPr>
          <w:p>
            <w:pPr>
              <w:suppressAutoHyphens w:val="0"/>
              <w:autoSpaceDE w:val="0"/>
              <w:adjustRightInd w:val="0"/>
              <w:jc w:val="center"/>
              <w:textAlignment w:val="auto"/>
              <w:rPr>
                <w:bCs/>
                <w:iCs/>
                <w:sz w:val="24"/>
                <w:szCs w:val="24"/>
              </w:rPr>
            </w:pPr>
            <w:r>
              <w:rPr>
                <w:bCs/>
                <w:iCs/>
                <w:sz w:val="24"/>
                <w:szCs w:val="24"/>
              </w:rPr>
              <w:t>0,210</w:t>
            </w:r>
          </w:p>
        </w:tc>
        <w:tc>
          <w:tcPr>
            <w:tcW w:w="850" w:type="dxa"/>
            <w:vAlign w:val="center"/>
          </w:tcPr>
          <w:p>
            <w:pPr>
              <w:suppressAutoHyphens w:val="0"/>
              <w:autoSpaceDE w:val="0"/>
              <w:adjustRightInd w:val="0"/>
              <w:jc w:val="center"/>
              <w:textAlignment w:val="auto"/>
              <w:rPr>
                <w:bCs/>
                <w:iCs/>
                <w:sz w:val="24"/>
                <w:szCs w:val="24"/>
              </w:rPr>
            </w:pPr>
            <w:r>
              <w:rPr>
                <w:bCs/>
                <w:iCs/>
                <w:sz w:val="24"/>
                <w:szCs w:val="24"/>
              </w:rPr>
              <w:t>0,210</w:t>
            </w:r>
          </w:p>
        </w:tc>
        <w:tc>
          <w:tcPr>
            <w:tcW w:w="850" w:type="dxa"/>
            <w:vAlign w:val="center"/>
          </w:tcPr>
          <w:p>
            <w:pPr>
              <w:suppressAutoHyphens w:val="0"/>
              <w:autoSpaceDE w:val="0"/>
              <w:adjustRightInd w:val="0"/>
              <w:jc w:val="center"/>
              <w:textAlignment w:val="auto"/>
              <w:rPr>
                <w:bCs/>
                <w:iCs/>
                <w:sz w:val="24"/>
                <w:szCs w:val="24"/>
              </w:rPr>
            </w:pPr>
            <w:r>
              <w:rPr>
                <w:bCs/>
                <w:iCs/>
                <w:sz w:val="24"/>
                <w:szCs w:val="24"/>
              </w:rPr>
              <w:t>0,54</w:t>
            </w:r>
          </w:p>
        </w:tc>
        <w:tc>
          <w:tcPr>
            <w:tcW w:w="970" w:type="dxa"/>
            <w:vAlign w:val="center"/>
          </w:tcPr>
          <w:p>
            <w:pPr>
              <w:suppressAutoHyphens w:val="0"/>
              <w:autoSpaceDE w:val="0"/>
              <w:adjustRightInd w:val="0"/>
              <w:jc w:val="center"/>
              <w:textAlignment w:val="auto"/>
              <w:rPr>
                <w:bCs/>
                <w:iCs/>
                <w:sz w:val="24"/>
                <w:szCs w:val="24"/>
              </w:rPr>
            </w:pPr>
            <w:r>
              <w:rPr>
                <w:bCs/>
                <w:iCs/>
                <w:sz w:val="24"/>
                <w:szCs w:val="24"/>
              </w:rPr>
              <w:t>0,5</w:t>
            </w:r>
          </w:p>
        </w:tc>
        <w:tc>
          <w:tcPr>
            <w:tcW w:w="970" w:type="dxa"/>
            <w:vAlign w:val="center"/>
          </w:tcPr>
          <w:p>
            <w:pPr>
              <w:suppressAutoHyphens w:val="0"/>
              <w:autoSpaceDE w:val="0"/>
              <w:adjustRightInd w:val="0"/>
              <w:jc w:val="center"/>
              <w:textAlignment w:val="auto"/>
              <w:rPr>
                <w:bCs/>
                <w:iCs/>
                <w:sz w:val="24"/>
                <w:szCs w:val="24"/>
              </w:rPr>
            </w:pPr>
            <w:r>
              <w:rPr>
                <w:bCs/>
                <w:iCs/>
                <w:sz w:val="24"/>
                <w:szCs w:val="24"/>
              </w:rPr>
              <w:t>1</w:t>
            </w:r>
          </w:p>
        </w:tc>
        <w:tc>
          <w:tcPr>
            <w:tcW w:w="970" w:type="dxa"/>
            <w:vAlign w:val="center"/>
          </w:tcPr>
          <w:p>
            <w:pPr>
              <w:suppressAutoHyphens w:val="0"/>
              <w:autoSpaceDE w:val="0"/>
              <w:adjustRightInd w:val="0"/>
              <w:jc w:val="center"/>
              <w:textAlignment w:val="auto"/>
              <w:rPr>
                <w:bCs/>
                <w:iCs/>
                <w:sz w:val="24"/>
                <w:szCs w:val="24"/>
              </w:rPr>
            </w:pPr>
            <w:r>
              <w:rPr>
                <w:bCs/>
                <w:iCs/>
                <w:sz w:val="24"/>
                <w:szCs w:val="24"/>
              </w:rPr>
              <w:t>1</w:t>
            </w:r>
          </w:p>
        </w:tc>
      </w:tr>
    </w:tbl>
    <w:p>
      <w:pPr>
        <w:suppressAutoHyphens w:val="0"/>
        <w:autoSpaceDE w:val="0"/>
        <w:adjustRightInd w:val="0"/>
        <w:jc w:val="both"/>
        <w:textAlignment w:val="auto"/>
        <w:rPr>
          <w:b/>
          <w:bCs/>
          <w:iCs/>
        </w:rPr>
      </w:pPr>
    </w:p>
    <w:p>
      <w:pPr>
        <w:suppressAutoHyphens w:val="0"/>
        <w:autoSpaceDE w:val="0"/>
        <w:adjustRightInd w:val="0"/>
        <w:jc w:val="center"/>
        <w:textAlignment w:val="auto"/>
        <w:rPr>
          <w:b/>
          <w:bCs/>
          <w:iCs/>
          <w:sz w:val="28"/>
          <w:szCs w:val="28"/>
        </w:rPr>
      </w:pPr>
      <w:r>
        <w:rPr>
          <w:b/>
          <w:bCs/>
          <w:iCs/>
          <w:sz w:val="28"/>
          <w:szCs w:val="28"/>
        </w:rPr>
        <w:t>Раздел 3.Перспективные балансы теплоносителя.</w:t>
      </w:r>
    </w:p>
    <w:p>
      <w:pPr>
        <w:suppressAutoHyphens w:val="0"/>
        <w:autoSpaceDE w:val="0"/>
        <w:adjustRightInd w:val="0"/>
        <w:jc w:val="center"/>
        <w:textAlignment w:val="auto"/>
        <w:rPr>
          <w:b/>
          <w:bCs/>
          <w:iCs/>
          <w:sz w:val="28"/>
          <w:szCs w:val="28"/>
        </w:rPr>
      </w:pPr>
    </w:p>
    <w:p>
      <w:pPr>
        <w:suppressAutoHyphens w:val="0"/>
        <w:autoSpaceDE w:val="0"/>
        <w:adjustRightInd w:val="0"/>
        <w:jc w:val="both"/>
        <w:textAlignment w:val="auto"/>
        <w:rPr>
          <w:bCs/>
          <w:iCs/>
          <w:sz w:val="28"/>
          <w:szCs w:val="28"/>
        </w:rPr>
      </w:pPr>
      <w:r>
        <w:rPr>
          <w:bCs/>
          <w:iCs/>
          <w:sz w:val="28"/>
          <w:szCs w:val="28"/>
        </w:rPr>
        <w:t xml:space="preserve">     Баланс производительности подпитки тепловой сети от котельной №2 х.Тормосин говорит о том, что при максимальной производительности подпитывающего насоса ДЖИЛЕКС Джамбо 60/35- 3,6 м3/час, существующая система подпитки  обеспечивает нормальную, бесперебойную работу котельной. Даже при максимальной подпитке тепловой сети в период повреждения участка - до 4 м3/час, наличие бака - аккумулятора емкостью 0,5 м3 обеспечивает работу котельной в нормальном режиме.</w:t>
      </w:r>
    </w:p>
    <w:p>
      <w:pPr>
        <w:suppressAutoHyphens w:val="0"/>
        <w:autoSpaceDE w:val="0"/>
        <w:adjustRightInd w:val="0"/>
        <w:jc w:val="both"/>
        <w:textAlignment w:val="auto"/>
        <w:rPr>
          <w:bCs/>
          <w:iCs/>
          <w:sz w:val="28"/>
          <w:szCs w:val="28"/>
        </w:rPr>
      </w:pPr>
    </w:p>
    <w:p>
      <w:pPr>
        <w:suppressAutoHyphens w:val="0"/>
        <w:autoSpaceDE w:val="0"/>
        <w:adjustRightInd w:val="0"/>
        <w:jc w:val="center"/>
        <w:textAlignment w:val="auto"/>
        <w:rPr>
          <w:b/>
          <w:bCs/>
          <w:iCs/>
          <w:sz w:val="28"/>
          <w:szCs w:val="28"/>
        </w:rPr>
      </w:pPr>
      <w:r>
        <w:rPr>
          <w:b/>
          <w:bCs/>
          <w:iCs/>
          <w:sz w:val="28"/>
          <w:szCs w:val="28"/>
        </w:rPr>
        <w:t>Раздел 4. Предложения по строительству, реконструкции и техническому перевооружению источников тепловой энергии.</w:t>
      </w:r>
    </w:p>
    <w:p>
      <w:pPr>
        <w:suppressAutoHyphens w:val="0"/>
        <w:autoSpaceDE w:val="0"/>
        <w:adjustRightInd w:val="0"/>
        <w:jc w:val="center"/>
        <w:textAlignment w:val="auto"/>
        <w:rPr>
          <w:b/>
          <w:bCs/>
          <w:i/>
          <w:iCs/>
          <w:sz w:val="28"/>
          <w:szCs w:val="28"/>
        </w:rPr>
      </w:pPr>
    </w:p>
    <w:p>
      <w:pPr>
        <w:suppressAutoHyphens w:val="0"/>
        <w:autoSpaceDE w:val="0"/>
        <w:adjustRightInd w:val="0"/>
        <w:jc w:val="both"/>
        <w:textAlignment w:val="auto"/>
        <w:rPr>
          <w:b/>
          <w:bCs/>
          <w:iCs/>
          <w:sz w:val="28"/>
          <w:szCs w:val="28"/>
        </w:rPr>
      </w:pPr>
      <w:r>
        <w:rPr>
          <w:b/>
          <w:bCs/>
          <w:iCs/>
          <w:sz w:val="28"/>
          <w:szCs w:val="28"/>
        </w:rPr>
        <w:t>4.1.Предложения по строительству и  реконструкции источников тепловой энергии</w:t>
      </w:r>
    </w:p>
    <w:p>
      <w:pPr>
        <w:suppressAutoHyphens w:val="0"/>
        <w:autoSpaceDE w:val="0"/>
        <w:adjustRightInd w:val="0"/>
        <w:jc w:val="both"/>
        <w:textAlignment w:val="auto"/>
        <w:rPr>
          <w:bCs/>
          <w:iCs/>
          <w:sz w:val="28"/>
          <w:szCs w:val="28"/>
        </w:rPr>
      </w:pPr>
    </w:p>
    <w:p>
      <w:pPr>
        <w:suppressAutoHyphens w:val="0"/>
        <w:autoSpaceDE w:val="0"/>
        <w:adjustRightInd w:val="0"/>
        <w:jc w:val="both"/>
        <w:textAlignment w:val="auto"/>
        <w:rPr>
          <w:bCs/>
          <w:iCs/>
          <w:sz w:val="28"/>
          <w:szCs w:val="28"/>
        </w:rPr>
      </w:pPr>
      <w:r>
        <w:rPr>
          <w:bCs/>
          <w:iCs/>
          <w:sz w:val="28"/>
          <w:szCs w:val="28"/>
        </w:rPr>
        <w:t xml:space="preserve">  Проектируемую жилую малоэтажную застройку на перспективу развития до 2030 года предполагается снабжать теплом и горячей водой посредством индивидуального отопления  и установок водонагревателей в каждом доме.</w:t>
      </w:r>
    </w:p>
    <w:p>
      <w:pPr>
        <w:suppressAutoHyphens w:val="0"/>
        <w:autoSpaceDE w:val="0"/>
        <w:adjustRightInd w:val="0"/>
        <w:jc w:val="both"/>
        <w:textAlignment w:val="auto"/>
        <w:rPr>
          <w:bCs/>
          <w:iCs/>
          <w:sz w:val="28"/>
          <w:szCs w:val="28"/>
        </w:rPr>
      </w:pPr>
    </w:p>
    <w:p>
      <w:pPr>
        <w:suppressAutoHyphens w:val="0"/>
        <w:autoSpaceDE w:val="0"/>
        <w:adjustRightInd w:val="0"/>
        <w:jc w:val="both"/>
        <w:textAlignment w:val="auto"/>
        <w:rPr>
          <w:bCs/>
          <w:iCs/>
          <w:sz w:val="28"/>
          <w:szCs w:val="28"/>
        </w:rPr>
      </w:pPr>
      <w:r>
        <w:rPr>
          <w:bCs/>
          <w:iCs/>
          <w:sz w:val="28"/>
          <w:szCs w:val="28"/>
        </w:rPr>
        <w:t>При газификации Тормосиновского сельского поселения предлагается:</w:t>
      </w:r>
    </w:p>
    <w:p>
      <w:pPr>
        <w:suppressAutoHyphens w:val="0"/>
        <w:autoSpaceDE w:val="0"/>
        <w:adjustRightInd w:val="0"/>
        <w:jc w:val="both"/>
        <w:textAlignment w:val="auto"/>
        <w:rPr>
          <w:b/>
          <w:bCs/>
          <w:iCs/>
          <w:sz w:val="28"/>
          <w:szCs w:val="28"/>
        </w:rPr>
      </w:pPr>
    </w:p>
    <w:p>
      <w:pPr>
        <w:suppressAutoHyphens w:val="0"/>
        <w:autoSpaceDE w:val="0"/>
        <w:adjustRightInd w:val="0"/>
        <w:jc w:val="both"/>
        <w:textAlignment w:val="auto"/>
        <w:rPr>
          <w:bCs/>
          <w:iCs/>
          <w:sz w:val="28"/>
          <w:szCs w:val="28"/>
        </w:rPr>
      </w:pPr>
      <w:r>
        <w:rPr>
          <w:bCs/>
          <w:iCs/>
          <w:sz w:val="28"/>
          <w:szCs w:val="28"/>
        </w:rPr>
        <w:t xml:space="preserve">-установить блочно-модульную котельную с установленной мощностью 600 кВт для отопления зданий ГБУЗ «Чернышковская ЦРБ» и здания МДОУ «Тормосиновский детский сад «Ромашка»;     </w:t>
      </w:r>
    </w:p>
    <w:p>
      <w:pPr>
        <w:suppressAutoHyphens w:val="0"/>
        <w:autoSpaceDE w:val="0"/>
        <w:adjustRightInd w:val="0"/>
        <w:jc w:val="both"/>
        <w:textAlignment w:val="auto"/>
        <w:rPr>
          <w:bCs/>
          <w:iCs/>
          <w:sz w:val="28"/>
          <w:szCs w:val="28"/>
        </w:rPr>
      </w:pPr>
    </w:p>
    <w:p>
      <w:pPr>
        <w:suppressAutoHyphens w:val="0"/>
        <w:autoSpaceDE w:val="0"/>
        <w:adjustRightInd w:val="0"/>
        <w:jc w:val="both"/>
        <w:textAlignment w:val="auto"/>
        <w:rPr>
          <w:b/>
          <w:bCs/>
          <w:iCs/>
          <w:sz w:val="28"/>
          <w:szCs w:val="28"/>
        </w:rPr>
      </w:pPr>
      <w:r>
        <w:rPr>
          <w:bCs/>
          <w:iCs/>
          <w:sz w:val="28"/>
          <w:szCs w:val="28"/>
        </w:rPr>
        <w:t>- установить блочно-модульную котельную</w:t>
      </w:r>
      <w:r>
        <w:rPr>
          <w:sz w:val="28"/>
          <w:szCs w:val="28"/>
        </w:rPr>
        <w:t xml:space="preserve"> </w:t>
      </w:r>
      <w:r>
        <w:rPr>
          <w:bCs/>
          <w:iCs/>
          <w:sz w:val="28"/>
          <w:szCs w:val="28"/>
        </w:rPr>
        <w:t>с установленной мощностью 600 кВт для отопления зданий</w:t>
      </w:r>
      <w:r>
        <w:rPr>
          <w:sz w:val="28"/>
          <w:szCs w:val="28"/>
        </w:rPr>
        <w:t xml:space="preserve"> </w:t>
      </w:r>
      <w:r>
        <w:rPr>
          <w:bCs/>
          <w:iCs/>
          <w:sz w:val="28"/>
          <w:szCs w:val="28"/>
        </w:rPr>
        <w:t xml:space="preserve">МКОУ «Тормосиновская СОШ»;  </w:t>
      </w:r>
    </w:p>
    <w:p>
      <w:pPr>
        <w:suppressAutoHyphens w:val="0"/>
        <w:autoSpaceDE w:val="0"/>
        <w:adjustRightInd w:val="0"/>
        <w:jc w:val="both"/>
        <w:textAlignment w:val="auto"/>
        <w:rPr>
          <w:bCs/>
          <w:iCs/>
          <w:sz w:val="28"/>
          <w:szCs w:val="28"/>
        </w:rPr>
      </w:pPr>
    </w:p>
    <w:p>
      <w:pPr>
        <w:suppressAutoHyphens w:val="0"/>
        <w:autoSpaceDE w:val="0"/>
        <w:adjustRightInd w:val="0"/>
        <w:jc w:val="both"/>
        <w:textAlignment w:val="auto"/>
        <w:rPr>
          <w:bCs/>
          <w:iCs/>
          <w:sz w:val="28"/>
          <w:szCs w:val="28"/>
        </w:rPr>
      </w:pPr>
      <w:r>
        <w:rPr>
          <w:bCs/>
          <w:iCs/>
          <w:sz w:val="28"/>
          <w:szCs w:val="28"/>
        </w:rPr>
        <w:t xml:space="preserve">- установить блочно-модульную котельную с установленной мощностью 500 кВт для отопления зданий ГОУ «Тормосиновская ШИ ДС и ДОБПР»;       </w:t>
      </w:r>
    </w:p>
    <w:p>
      <w:pPr>
        <w:suppressAutoHyphens w:val="0"/>
        <w:autoSpaceDE w:val="0"/>
        <w:adjustRightInd w:val="0"/>
        <w:jc w:val="both"/>
        <w:textAlignment w:val="auto"/>
        <w:rPr>
          <w:b/>
          <w:bCs/>
          <w:iCs/>
          <w:sz w:val="28"/>
          <w:szCs w:val="28"/>
        </w:rPr>
      </w:pPr>
      <w:r>
        <w:rPr>
          <w:b/>
          <w:bCs/>
          <w:iCs/>
          <w:sz w:val="28"/>
          <w:szCs w:val="28"/>
        </w:rPr>
        <w:t xml:space="preserve"> </w:t>
      </w:r>
    </w:p>
    <w:p>
      <w:pPr>
        <w:suppressAutoHyphens w:val="0"/>
        <w:autoSpaceDE w:val="0"/>
        <w:adjustRightInd w:val="0"/>
        <w:jc w:val="both"/>
        <w:textAlignment w:val="auto"/>
        <w:rPr>
          <w:bCs/>
          <w:iCs/>
          <w:sz w:val="28"/>
          <w:szCs w:val="28"/>
        </w:rPr>
      </w:pPr>
      <w:r>
        <w:rPr>
          <w:bCs/>
          <w:iCs/>
          <w:sz w:val="28"/>
          <w:szCs w:val="28"/>
        </w:rPr>
        <w:t>- установить котлы наружного размещения (встроенную или блочно - модульную котельную)</w:t>
      </w:r>
      <w:r>
        <w:rPr>
          <w:sz w:val="28"/>
          <w:szCs w:val="28"/>
        </w:rPr>
        <w:t xml:space="preserve"> </w:t>
      </w:r>
      <w:r>
        <w:rPr>
          <w:bCs/>
          <w:iCs/>
          <w:sz w:val="28"/>
          <w:szCs w:val="28"/>
        </w:rPr>
        <w:t>с установленной мощностью 400 кВт для отопления здания МУК «Тормосиновский СДК» в х.Тормосин;</w:t>
      </w:r>
    </w:p>
    <w:p>
      <w:pPr>
        <w:suppressAutoHyphens w:val="0"/>
        <w:autoSpaceDE w:val="0"/>
        <w:adjustRightInd w:val="0"/>
        <w:jc w:val="both"/>
        <w:textAlignment w:val="auto"/>
        <w:rPr>
          <w:b/>
          <w:bCs/>
          <w:iCs/>
          <w:sz w:val="28"/>
          <w:szCs w:val="28"/>
        </w:rPr>
      </w:pPr>
    </w:p>
    <w:p>
      <w:pPr>
        <w:suppressAutoHyphens w:val="0"/>
        <w:autoSpaceDE w:val="0"/>
        <w:adjustRightInd w:val="0"/>
        <w:jc w:val="both"/>
        <w:textAlignment w:val="auto"/>
        <w:rPr>
          <w:bCs/>
          <w:iCs/>
          <w:sz w:val="28"/>
          <w:szCs w:val="28"/>
        </w:rPr>
      </w:pPr>
      <w:r>
        <w:rPr>
          <w:bCs/>
          <w:iCs/>
          <w:sz w:val="28"/>
          <w:szCs w:val="28"/>
        </w:rPr>
        <w:t>- установить котлы наружного размещения (или блочно-модульную котельную)  с установленной мощностью 100 кВт для отопления здания  МКОУ «Тормосиновская СОШ» в х. Морской;</w:t>
      </w:r>
    </w:p>
    <w:p>
      <w:pPr>
        <w:suppressAutoHyphens w:val="0"/>
        <w:autoSpaceDE w:val="0"/>
        <w:adjustRightInd w:val="0"/>
        <w:jc w:val="both"/>
        <w:textAlignment w:val="auto"/>
        <w:rPr>
          <w:b/>
          <w:bCs/>
          <w:iCs/>
          <w:sz w:val="28"/>
          <w:szCs w:val="28"/>
        </w:rPr>
      </w:pPr>
    </w:p>
    <w:p>
      <w:pPr>
        <w:suppressAutoHyphens w:val="0"/>
        <w:autoSpaceDE w:val="0"/>
        <w:adjustRightInd w:val="0"/>
        <w:jc w:val="both"/>
        <w:textAlignment w:val="auto"/>
        <w:rPr>
          <w:bCs/>
          <w:iCs/>
          <w:sz w:val="28"/>
          <w:szCs w:val="28"/>
        </w:rPr>
      </w:pPr>
      <w:r>
        <w:rPr>
          <w:bCs/>
          <w:iCs/>
          <w:sz w:val="28"/>
          <w:szCs w:val="28"/>
        </w:rPr>
        <w:t>- установить котлы наружного размещения (встроенную или блочно - модульную котельную) с установленной мощностью 200 кВт для отопления здания МУК «Тормосиновский СДК» в х. Морской.</w:t>
      </w:r>
    </w:p>
    <w:p>
      <w:pPr>
        <w:tabs>
          <w:tab w:val="left" w:pos="9781"/>
        </w:tabs>
        <w:suppressAutoHyphens w:val="0"/>
        <w:autoSpaceDN/>
        <w:spacing w:line="250" w:lineRule="exact"/>
        <w:ind w:right="-60"/>
        <w:jc w:val="both"/>
        <w:textAlignment w:val="auto"/>
        <w:rPr>
          <w:b/>
          <w:bCs/>
          <w:i/>
          <w:iCs/>
          <w:sz w:val="28"/>
          <w:szCs w:val="28"/>
        </w:rPr>
      </w:pPr>
    </w:p>
    <w:p>
      <w:pPr>
        <w:tabs>
          <w:tab w:val="left" w:pos="9781"/>
        </w:tabs>
        <w:suppressAutoHyphens w:val="0"/>
        <w:autoSpaceDN/>
        <w:spacing w:line="250" w:lineRule="exact"/>
        <w:ind w:right="-60"/>
        <w:jc w:val="both"/>
        <w:textAlignment w:val="auto"/>
        <w:rPr>
          <w:b/>
          <w:bCs/>
          <w:i/>
          <w:iCs/>
          <w:sz w:val="28"/>
          <w:szCs w:val="28"/>
        </w:rPr>
      </w:pPr>
    </w:p>
    <w:p>
      <w:pPr>
        <w:tabs>
          <w:tab w:val="left" w:pos="9781"/>
        </w:tabs>
        <w:suppressAutoHyphens w:val="0"/>
        <w:autoSpaceDN/>
        <w:spacing w:line="250" w:lineRule="exact"/>
        <w:ind w:right="-60"/>
        <w:jc w:val="both"/>
        <w:textAlignment w:val="auto"/>
        <w:rPr>
          <w:b/>
          <w:sz w:val="28"/>
          <w:szCs w:val="28"/>
          <w:shd w:val="clear" w:color="auto" w:fill="FFFFFF"/>
        </w:rPr>
      </w:pPr>
      <w:r>
        <w:rPr>
          <w:b/>
          <w:bCs/>
          <w:iCs/>
          <w:sz w:val="28"/>
          <w:szCs w:val="28"/>
        </w:rPr>
        <w:t>4.2.</w:t>
      </w:r>
      <w:r>
        <w:rPr>
          <w:b/>
          <w:sz w:val="28"/>
          <w:szCs w:val="28"/>
          <w:shd w:val="clear" w:color="auto" w:fill="FFFFFF"/>
        </w:rPr>
        <w:t xml:space="preserve"> Оптимальный температурный график отпуска тепловой энергии для каждого источника тепловой энергии или группы источников в системе теплоснабжения.</w:t>
      </w:r>
    </w:p>
    <w:p>
      <w:pPr>
        <w:tabs>
          <w:tab w:val="left" w:pos="9781"/>
        </w:tabs>
        <w:suppressAutoHyphens w:val="0"/>
        <w:autoSpaceDN/>
        <w:spacing w:line="250" w:lineRule="exact"/>
        <w:ind w:right="-60"/>
        <w:jc w:val="both"/>
        <w:textAlignment w:val="auto"/>
        <w:rPr>
          <w:sz w:val="28"/>
          <w:szCs w:val="28"/>
          <w:shd w:val="clear" w:color="auto" w:fill="FFFFFF"/>
        </w:rPr>
      </w:pPr>
    </w:p>
    <w:p>
      <w:pPr>
        <w:tabs>
          <w:tab w:val="left" w:pos="9781"/>
        </w:tabs>
        <w:suppressAutoHyphens w:val="0"/>
        <w:autoSpaceDN/>
        <w:spacing w:line="250" w:lineRule="exact"/>
        <w:ind w:right="-60"/>
        <w:jc w:val="both"/>
        <w:textAlignment w:val="auto"/>
        <w:rPr>
          <w:sz w:val="28"/>
          <w:szCs w:val="28"/>
        </w:rPr>
      </w:pPr>
      <w:r>
        <w:rPr>
          <w:sz w:val="28"/>
          <w:szCs w:val="28"/>
          <w:shd w:val="clear" w:color="auto" w:fill="FFFFFF"/>
        </w:rPr>
        <w:t xml:space="preserve">     Регулирование отпуска тепловой энергии потребителям осуществляется по принципу центрального качественного регулирования, согласно которому температура сетевой воды в подающем трубопроводе поддерживается в зависимости от температуры наружного воздуха </w:t>
      </w:r>
      <w:r>
        <w:rPr>
          <w:rFonts w:eastAsia="Calibri"/>
          <w:sz w:val="28"/>
          <w:szCs w:val="28"/>
          <w:lang w:eastAsia="en-US"/>
        </w:rPr>
        <w:t xml:space="preserve"> (расчётная температура воздуха   -25 </w:t>
      </w:r>
      <w:r>
        <w:rPr>
          <w:rFonts w:eastAsia="Calibri"/>
          <w:sz w:val="28"/>
          <w:szCs w:val="28"/>
          <w:vertAlign w:val="superscript"/>
          <w:lang w:eastAsia="en-US"/>
        </w:rPr>
        <w:t>0</w:t>
      </w:r>
      <w:r>
        <w:rPr>
          <w:rFonts w:eastAsia="Calibri"/>
          <w:sz w:val="28"/>
          <w:szCs w:val="28"/>
          <w:lang w:eastAsia="en-US"/>
        </w:rPr>
        <w:t>С)</w:t>
      </w:r>
    </w:p>
    <w:p>
      <w:pPr>
        <w:suppressAutoHyphens w:val="0"/>
        <w:autoSpaceDN/>
        <w:jc w:val="both"/>
        <w:textAlignment w:val="auto"/>
        <w:rPr>
          <w:rFonts w:eastAsia="Calibri"/>
          <w:sz w:val="28"/>
          <w:szCs w:val="28"/>
          <w:lang w:eastAsia="en-US"/>
        </w:rPr>
      </w:pPr>
    </w:p>
    <w:p>
      <w:pPr>
        <w:suppressAutoHyphens w:val="0"/>
        <w:autoSpaceDN/>
        <w:jc w:val="center"/>
        <w:textAlignment w:val="auto"/>
        <w:rPr>
          <w:rFonts w:eastAsia="Calibri"/>
          <w:i/>
          <w:sz w:val="28"/>
          <w:szCs w:val="28"/>
          <w:lang w:eastAsia="en-US"/>
        </w:rPr>
      </w:pPr>
    </w:p>
    <w:p>
      <w:pPr>
        <w:suppressAutoHyphens w:val="0"/>
        <w:autoSpaceDN/>
        <w:jc w:val="center"/>
        <w:textAlignment w:val="auto"/>
        <w:rPr>
          <w:rFonts w:eastAsia="Calibri"/>
          <w:i/>
          <w:sz w:val="28"/>
          <w:szCs w:val="28"/>
          <w:lang w:eastAsia="en-US"/>
        </w:rPr>
      </w:pPr>
    </w:p>
    <w:p>
      <w:pPr>
        <w:suppressAutoHyphens w:val="0"/>
        <w:autoSpaceDN/>
        <w:jc w:val="center"/>
        <w:textAlignment w:val="auto"/>
        <w:rPr>
          <w:rFonts w:eastAsia="Calibri"/>
          <w:i/>
          <w:sz w:val="28"/>
          <w:szCs w:val="28"/>
          <w:lang w:eastAsia="en-US"/>
        </w:rPr>
      </w:pPr>
    </w:p>
    <w:p>
      <w:pPr>
        <w:suppressAutoHyphens w:val="0"/>
        <w:autoSpaceDN/>
        <w:jc w:val="center"/>
        <w:textAlignment w:val="auto"/>
        <w:rPr>
          <w:rFonts w:eastAsia="Calibri"/>
          <w:i/>
          <w:sz w:val="28"/>
          <w:szCs w:val="28"/>
          <w:lang w:eastAsia="en-US"/>
        </w:rPr>
      </w:pPr>
    </w:p>
    <w:p>
      <w:pPr>
        <w:suppressAutoHyphens w:val="0"/>
        <w:autoSpaceDN/>
        <w:jc w:val="center"/>
        <w:textAlignment w:val="auto"/>
        <w:rPr>
          <w:rFonts w:eastAsia="Calibri"/>
          <w:i/>
          <w:sz w:val="28"/>
          <w:szCs w:val="28"/>
          <w:lang w:eastAsia="en-US"/>
        </w:rPr>
      </w:pPr>
    </w:p>
    <w:p>
      <w:pPr>
        <w:suppressAutoHyphens w:val="0"/>
        <w:autoSpaceDN/>
        <w:jc w:val="center"/>
        <w:textAlignment w:val="auto"/>
        <w:rPr>
          <w:rFonts w:eastAsia="Calibri"/>
          <w:i/>
          <w:sz w:val="28"/>
          <w:szCs w:val="28"/>
          <w:lang w:eastAsia="en-US"/>
        </w:rPr>
      </w:pPr>
    </w:p>
    <w:p>
      <w:pPr>
        <w:suppressAutoHyphens w:val="0"/>
        <w:autoSpaceDN/>
        <w:jc w:val="center"/>
        <w:textAlignment w:val="auto"/>
        <w:rPr>
          <w:rFonts w:eastAsia="Calibri"/>
          <w:i/>
          <w:sz w:val="28"/>
          <w:szCs w:val="28"/>
          <w:lang w:eastAsia="en-US"/>
        </w:rPr>
      </w:pPr>
    </w:p>
    <w:p>
      <w:pPr>
        <w:suppressAutoHyphens w:val="0"/>
        <w:autoSpaceDN/>
        <w:jc w:val="center"/>
        <w:textAlignment w:val="auto"/>
        <w:rPr>
          <w:rFonts w:eastAsia="Calibri"/>
          <w:i/>
          <w:sz w:val="28"/>
          <w:szCs w:val="28"/>
          <w:lang w:eastAsia="en-US"/>
        </w:rPr>
      </w:pPr>
    </w:p>
    <w:p>
      <w:pPr>
        <w:suppressAutoHyphens w:val="0"/>
        <w:autoSpaceDN/>
        <w:jc w:val="center"/>
        <w:textAlignment w:val="auto"/>
        <w:rPr>
          <w:rFonts w:eastAsia="Calibri"/>
          <w:i/>
          <w:sz w:val="28"/>
          <w:szCs w:val="28"/>
          <w:lang w:eastAsia="en-US"/>
        </w:rPr>
      </w:pPr>
      <w:r>
        <w:rPr>
          <w:rFonts w:eastAsia="Calibri"/>
          <w:i/>
          <w:sz w:val="28"/>
          <w:szCs w:val="28"/>
          <w:lang w:eastAsia="en-US"/>
        </w:rPr>
        <w:t>ГРАФИК</w:t>
      </w:r>
    </w:p>
    <w:p>
      <w:pPr>
        <w:suppressAutoHyphens w:val="0"/>
        <w:autoSpaceDN/>
        <w:jc w:val="center"/>
        <w:textAlignment w:val="auto"/>
        <w:rPr>
          <w:rFonts w:eastAsia="Calibri"/>
          <w:i/>
          <w:sz w:val="28"/>
          <w:szCs w:val="28"/>
          <w:lang w:eastAsia="en-US"/>
        </w:rPr>
      </w:pPr>
      <w:r>
        <w:rPr>
          <w:rFonts w:eastAsia="Calibri"/>
          <w:i/>
          <w:sz w:val="28"/>
          <w:szCs w:val="28"/>
          <w:lang w:eastAsia="en-US"/>
        </w:rPr>
        <w:t xml:space="preserve">зависимости температуры теплоносителя от среднесуточной температуры </w:t>
      </w:r>
    </w:p>
    <w:p>
      <w:pPr>
        <w:suppressAutoHyphens w:val="0"/>
        <w:autoSpaceDN/>
        <w:jc w:val="center"/>
        <w:textAlignment w:val="auto"/>
        <w:rPr>
          <w:rFonts w:eastAsia="Calibri"/>
          <w:i/>
          <w:sz w:val="28"/>
          <w:szCs w:val="28"/>
          <w:lang w:eastAsia="en-US"/>
        </w:rPr>
      </w:pPr>
      <w:r>
        <w:rPr>
          <w:rFonts w:eastAsia="Calibri"/>
          <w:i/>
          <w:sz w:val="28"/>
          <w:szCs w:val="28"/>
          <w:lang w:eastAsia="en-US"/>
        </w:rPr>
        <w:t>наружного воздуха для котельной №2  х.Тормосин</w:t>
      </w:r>
    </w:p>
    <w:p>
      <w:pPr>
        <w:suppressAutoHyphens w:val="0"/>
        <w:autoSpaceDN/>
        <w:jc w:val="center"/>
        <w:textAlignment w:val="auto"/>
        <w:rPr>
          <w:rFonts w:eastAsia="Calibri"/>
          <w:i/>
          <w:sz w:val="28"/>
          <w:szCs w:val="28"/>
          <w:lang w:eastAsia="en-US"/>
        </w:rPr>
      </w:pPr>
      <w:r>
        <w:rPr>
          <w:rFonts w:eastAsia="Calibri"/>
          <w:i/>
          <w:sz w:val="28"/>
          <w:szCs w:val="28"/>
          <w:lang w:eastAsia="en-US"/>
        </w:rPr>
        <w:t xml:space="preserve"> (температурный график 95 – 70 0С)</w:t>
      </w:r>
    </w:p>
    <w:p>
      <w:pPr>
        <w:suppressAutoHyphens w:val="0"/>
        <w:autoSpaceDN/>
        <w:jc w:val="both"/>
        <w:textAlignment w:val="auto"/>
        <w:rPr>
          <w:rFonts w:eastAsia="Calibri"/>
          <w:szCs w:val="22"/>
          <w:lang w:eastAsia="en-US"/>
        </w:rPr>
      </w:pPr>
    </w:p>
    <w:tbl>
      <w:tblPr>
        <w:tblStyle w:val="28"/>
        <w:tblW w:w="9072" w:type="dxa"/>
        <w:tblInd w:w="577" w:type="dxa"/>
        <w:tblLayout w:type="fixed"/>
        <w:tblCellMar>
          <w:top w:w="0" w:type="dxa"/>
          <w:left w:w="108" w:type="dxa"/>
          <w:bottom w:w="0" w:type="dxa"/>
          <w:right w:w="108" w:type="dxa"/>
        </w:tblCellMar>
      </w:tblPr>
      <w:tblGrid>
        <w:gridCol w:w="2835"/>
        <w:gridCol w:w="2835"/>
        <w:gridCol w:w="3402"/>
      </w:tblGrid>
      <w:tr>
        <w:tblPrEx>
          <w:tblLayout w:type="fixed"/>
          <w:tblCellMar>
            <w:top w:w="0" w:type="dxa"/>
            <w:left w:w="108" w:type="dxa"/>
            <w:bottom w:w="0" w:type="dxa"/>
            <w:right w:w="108" w:type="dxa"/>
          </w:tblCellMar>
        </w:tblPrEx>
        <w:trPr>
          <w:trHeight w:val="300" w:hRule="atLeast"/>
        </w:trPr>
        <w:tc>
          <w:tcPr>
            <w:tcW w:w="9072"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rFonts w:eastAsia="Calibri"/>
                <w:lang w:eastAsia="en-US"/>
              </w:rPr>
            </w:pPr>
            <w:r>
              <w:rPr>
                <w:rFonts w:eastAsia="Calibri"/>
                <w:lang w:eastAsia="en-US"/>
              </w:rPr>
              <w:t>ТЕМПЕРАТУРА</w:t>
            </w:r>
          </w:p>
        </w:tc>
      </w:tr>
      <w:tr>
        <w:tblPrEx>
          <w:tblLayout w:type="fixed"/>
          <w:tblCellMar>
            <w:top w:w="0" w:type="dxa"/>
            <w:left w:w="108" w:type="dxa"/>
            <w:bottom w:w="0" w:type="dxa"/>
            <w:right w:w="108" w:type="dxa"/>
          </w:tblCellMar>
        </w:tblPrEx>
        <w:trPr>
          <w:trHeight w:val="300" w:hRule="atLeast"/>
        </w:trPr>
        <w:tc>
          <w:tcPr>
            <w:tcW w:w="2835" w:type="dxa"/>
            <w:vMerge w:val="restart"/>
            <w:tcBorders>
              <w:top w:val="single" w:color="auto" w:sz="4" w:space="0"/>
              <w:left w:val="single" w:color="auto" w:sz="4" w:space="0"/>
              <w:right w:val="single" w:color="auto" w:sz="4" w:space="0"/>
            </w:tcBorders>
            <w:shd w:val="clear" w:color="auto" w:fill="auto"/>
            <w:vAlign w:val="center"/>
          </w:tcPr>
          <w:p>
            <w:pPr>
              <w:suppressAutoHyphens w:val="0"/>
              <w:autoSpaceDN/>
              <w:jc w:val="center"/>
              <w:textAlignment w:val="auto"/>
              <w:rPr>
                <w:rFonts w:eastAsia="Calibri"/>
                <w:lang w:eastAsia="en-US"/>
              </w:rPr>
            </w:pPr>
            <w:r>
              <w:rPr>
                <w:rFonts w:eastAsia="Calibri"/>
                <w:lang w:eastAsia="en-US"/>
              </w:rPr>
              <w:t>наружного  воздуха</w:t>
            </w:r>
          </w:p>
        </w:tc>
        <w:tc>
          <w:tcPr>
            <w:tcW w:w="623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rFonts w:eastAsia="Calibri"/>
                <w:lang w:eastAsia="en-US"/>
              </w:rPr>
            </w:pPr>
            <w:r>
              <w:rPr>
                <w:rFonts w:eastAsia="Calibri"/>
                <w:lang w:eastAsia="en-US"/>
              </w:rPr>
              <w:t>в трубопроводе</w:t>
            </w:r>
          </w:p>
        </w:tc>
      </w:tr>
      <w:tr>
        <w:tblPrEx>
          <w:tblLayout w:type="fixed"/>
          <w:tblCellMar>
            <w:top w:w="0" w:type="dxa"/>
            <w:left w:w="108" w:type="dxa"/>
            <w:bottom w:w="0" w:type="dxa"/>
            <w:right w:w="108" w:type="dxa"/>
          </w:tblCellMar>
        </w:tblPrEx>
        <w:trPr>
          <w:trHeight w:val="300" w:hRule="atLeast"/>
        </w:trPr>
        <w:tc>
          <w:tcPr>
            <w:tcW w:w="2835" w:type="dxa"/>
            <w:vMerge w:val="continue"/>
            <w:tcBorders>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rFonts w:eastAsia="Calibri"/>
                <w:color w:val="000000"/>
                <w:lang w:eastAsia="en-US"/>
              </w:rPr>
            </w:pPr>
          </w:p>
        </w:tc>
        <w:tc>
          <w:tcPr>
            <w:tcW w:w="2835" w:type="dxa"/>
            <w:tcBorders>
              <w:top w:val="single" w:color="auto" w:sz="4" w:space="0"/>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rFonts w:eastAsia="Calibri"/>
                <w:color w:val="000000"/>
                <w:lang w:eastAsia="en-US"/>
              </w:rPr>
            </w:pPr>
            <w:r>
              <w:rPr>
                <w:rFonts w:eastAsia="Calibri"/>
                <w:lang w:eastAsia="en-US"/>
              </w:rPr>
              <w:t>подающий</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center"/>
          </w:tcPr>
          <w:p>
            <w:pPr>
              <w:suppressAutoHyphens w:val="0"/>
              <w:autoSpaceDN/>
              <w:jc w:val="center"/>
              <w:textAlignment w:val="auto"/>
              <w:rPr>
                <w:rFonts w:eastAsia="Calibri"/>
                <w:color w:val="000000"/>
                <w:lang w:eastAsia="en-US"/>
              </w:rPr>
            </w:pPr>
            <w:r>
              <w:rPr>
                <w:rFonts w:eastAsia="Calibri"/>
                <w:lang w:eastAsia="en-US"/>
              </w:rPr>
              <w:t>обратный</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10</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39</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34</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9</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41</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35</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8</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42</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36</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7</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44</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38</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46</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39</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5</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48</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40</w:t>
            </w:r>
          </w:p>
        </w:tc>
      </w:tr>
      <w:tr>
        <w:tblPrEx>
          <w:tblLayout w:type="fixed"/>
          <w:tblCellMar>
            <w:top w:w="0" w:type="dxa"/>
            <w:left w:w="108" w:type="dxa"/>
            <w:bottom w:w="0" w:type="dxa"/>
            <w:right w:w="108" w:type="dxa"/>
          </w:tblCellMar>
        </w:tblPrEx>
        <w:trPr>
          <w:trHeight w:val="295"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4</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49</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41</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3</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52</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42</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2</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53</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43</w:t>
            </w:r>
          </w:p>
        </w:tc>
      </w:tr>
      <w:tr>
        <w:tblPrEx>
          <w:tblLayout w:type="fixed"/>
          <w:tblCellMar>
            <w:top w:w="0" w:type="dxa"/>
            <w:left w:w="108" w:type="dxa"/>
            <w:bottom w:w="0" w:type="dxa"/>
            <w:right w:w="108" w:type="dxa"/>
          </w:tblCellMar>
        </w:tblPrEx>
        <w:trPr>
          <w:trHeight w:val="315"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1</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55</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45</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0</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57</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46</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-1</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58</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47</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-2</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60</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48</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-3</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62</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49</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-4</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64</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50</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-5</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65</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51</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67</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52</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-7</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68</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53</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-8</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70</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54</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-9</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71</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55</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-10</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73</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56</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-11</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74</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57</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-12</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76</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58</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-13</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78</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59</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-14</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79</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60</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-15</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81</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61</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-16</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82</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62</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-17</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84</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63</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-18</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85</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64</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-19</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87</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65</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-20</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88</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66</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-21</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90</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67</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-22</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91</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68</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-23</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93</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69</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-24</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94</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69</w:t>
            </w:r>
          </w:p>
        </w:tc>
      </w:tr>
      <w:tr>
        <w:tblPrEx>
          <w:tblLayout w:type="fixed"/>
          <w:tblCellMar>
            <w:top w:w="0" w:type="dxa"/>
            <w:left w:w="108" w:type="dxa"/>
            <w:bottom w:w="0" w:type="dxa"/>
            <w:right w:w="108" w:type="dxa"/>
          </w:tblCellMar>
        </w:tblPrEx>
        <w:trPr>
          <w:trHeight w:val="300" w:hRule="atLeast"/>
        </w:trPr>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-25</w:t>
            </w: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95</w:t>
            </w:r>
          </w:p>
        </w:tc>
        <w:tc>
          <w:tcPr>
            <w:tcW w:w="3402" w:type="dxa"/>
            <w:tcBorders>
              <w:top w:val="single" w:color="auto" w:sz="4" w:space="0"/>
              <w:left w:val="single" w:color="auto" w:sz="4" w:space="0"/>
              <w:bottom w:val="single" w:color="auto" w:sz="4" w:space="0"/>
              <w:right w:val="single" w:color="auto" w:sz="4" w:space="0"/>
            </w:tcBorders>
            <w:shd w:val="clear" w:color="auto" w:fill="auto"/>
            <w:vAlign w:val="bottom"/>
          </w:tcPr>
          <w:p>
            <w:pPr>
              <w:suppressAutoHyphens w:val="0"/>
              <w:autoSpaceDN/>
              <w:jc w:val="center"/>
              <w:textAlignment w:val="auto"/>
              <w:rPr>
                <w:rFonts w:eastAsia="Calibri"/>
                <w:color w:val="000000"/>
                <w:lang w:eastAsia="en-US"/>
              </w:rPr>
            </w:pPr>
            <w:r>
              <w:rPr>
                <w:rFonts w:eastAsia="Calibri"/>
                <w:color w:val="000000"/>
                <w:lang w:eastAsia="en-US"/>
              </w:rPr>
              <w:t>70</w:t>
            </w:r>
          </w:p>
        </w:tc>
      </w:tr>
    </w:tbl>
    <w:p>
      <w:pPr>
        <w:suppressAutoHyphens w:val="0"/>
        <w:autoSpaceDN/>
        <w:jc w:val="both"/>
        <w:textAlignment w:val="auto"/>
        <w:rPr>
          <w:rFonts w:eastAsia="Calibri"/>
          <w:lang w:eastAsia="en-US"/>
        </w:rPr>
      </w:pPr>
    </w:p>
    <w:p>
      <w:pPr>
        <w:suppressAutoHyphens w:val="0"/>
        <w:autoSpaceDN/>
        <w:jc w:val="both"/>
        <w:textAlignment w:val="auto"/>
        <w:rPr>
          <w:rFonts w:eastAsia="Calibri"/>
          <w:szCs w:val="22"/>
          <w:lang w:eastAsia="en-US"/>
        </w:rPr>
      </w:pPr>
    </w:p>
    <w:p>
      <w:pPr>
        <w:suppressAutoHyphens w:val="0"/>
        <w:autoSpaceDE w:val="0"/>
        <w:adjustRightInd w:val="0"/>
        <w:jc w:val="both"/>
        <w:textAlignment w:val="auto"/>
        <w:rPr>
          <w:b/>
          <w:bCs/>
          <w:iCs/>
        </w:rPr>
      </w:pPr>
    </w:p>
    <w:p>
      <w:pPr>
        <w:suppressAutoHyphens w:val="0"/>
        <w:autoSpaceDE w:val="0"/>
        <w:adjustRightInd w:val="0"/>
        <w:jc w:val="center"/>
        <w:textAlignment w:val="auto"/>
        <w:rPr>
          <w:b/>
          <w:bCs/>
          <w:iCs/>
          <w:sz w:val="28"/>
          <w:szCs w:val="28"/>
        </w:rPr>
      </w:pPr>
      <w:r>
        <w:rPr>
          <w:b/>
          <w:bCs/>
          <w:iCs/>
          <w:sz w:val="28"/>
          <w:szCs w:val="28"/>
        </w:rPr>
        <w:t xml:space="preserve">Раздел 5. Решения по новому строительству и реконструкции </w:t>
      </w:r>
    </w:p>
    <w:p>
      <w:pPr>
        <w:suppressAutoHyphens w:val="0"/>
        <w:autoSpaceDE w:val="0"/>
        <w:adjustRightInd w:val="0"/>
        <w:jc w:val="center"/>
        <w:textAlignment w:val="auto"/>
        <w:rPr>
          <w:b/>
          <w:bCs/>
          <w:iCs/>
          <w:sz w:val="28"/>
          <w:szCs w:val="28"/>
        </w:rPr>
      </w:pPr>
      <w:r>
        <w:rPr>
          <w:b/>
          <w:bCs/>
          <w:iCs/>
          <w:sz w:val="28"/>
          <w:szCs w:val="28"/>
        </w:rPr>
        <w:t>тепловых сетей.</w:t>
      </w:r>
    </w:p>
    <w:p>
      <w:pPr>
        <w:suppressAutoHyphens w:val="0"/>
        <w:autoSpaceDE w:val="0"/>
        <w:adjustRightInd w:val="0"/>
        <w:jc w:val="both"/>
        <w:textAlignment w:val="auto"/>
        <w:rPr>
          <w:bCs/>
          <w:iCs/>
          <w:sz w:val="28"/>
          <w:szCs w:val="28"/>
        </w:rPr>
      </w:pPr>
      <w:r>
        <w:rPr>
          <w:bCs/>
          <w:iCs/>
          <w:sz w:val="28"/>
          <w:szCs w:val="28"/>
        </w:rPr>
        <w:t xml:space="preserve">     Учитывая, что генеральным планом Тормосиновского сельского поселения не предусмотрено изменение схемы теплоснабжения поселения, теплоснабжение объектов, которые планируется разместить вне зоны действия существующей котельной, предлагается осуществить от автономных источников.</w:t>
      </w:r>
    </w:p>
    <w:p>
      <w:pPr>
        <w:suppressAutoHyphens w:val="0"/>
        <w:autoSpaceDE w:val="0"/>
        <w:adjustRightInd w:val="0"/>
        <w:jc w:val="both"/>
        <w:textAlignment w:val="auto"/>
        <w:rPr>
          <w:bCs/>
          <w:iCs/>
          <w:sz w:val="28"/>
          <w:szCs w:val="28"/>
        </w:rPr>
      </w:pPr>
      <w:r>
        <w:rPr>
          <w:bCs/>
          <w:iCs/>
          <w:sz w:val="28"/>
          <w:szCs w:val="28"/>
        </w:rPr>
        <w:t xml:space="preserve">     Новое строительство тепловых сетей не планируется.</w:t>
      </w:r>
    </w:p>
    <w:p>
      <w:pPr>
        <w:suppressAutoHyphens w:val="0"/>
        <w:autoSpaceDE w:val="0"/>
        <w:adjustRightInd w:val="0"/>
        <w:jc w:val="both"/>
        <w:textAlignment w:val="auto"/>
        <w:rPr>
          <w:bCs/>
          <w:iCs/>
          <w:sz w:val="28"/>
          <w:szCs w:val="28"/>
        </w:rPr>
      </w:pPr>
      <w:r>
        <w:rPr>
          <w:bCs/>
          <w:iCs/>
          <w:sz w:val="28"/>
          <w:szCs w:val="28"/>
        </w:rPr>
        <w:t xml:space="preserve">     Мероприятия по реконструкции теплоснабжения Тормосиновского сельского поселения включают в себя модернизацию наземных и подземных тепловых сетей с использованием новых видов изоляции (ППУ).</w:t>
      </w:r>
    </w:p>
    <w:p>
      <w:pPr>
        <w:suppressAutoHyphens w:val="0"/>
        <w:autoSpaceDE w:val="0"/>
        <w:adjustRightInd w:val="0"/>
        <w:jc w:val="both"/>
        <w:textAlignment w:val="auto"/>
        <w:rPr>
          <w:bCs/>
          <w:iCs/>
          <w:sz w:val="28"/>
          <w:szCs w:val="28"/>
        </w:rPr>
      </w:pPr>
      <w:r>
        <w:rPr>
          <w:bCs/>
          <w:iCs/>
          <w:sz w:val="28"/>
          <w:szCs w:val="28"/>
        </w:rPr>
        <w:t xml:space="preserve">     Технология изоляции трубопроводов в пенополиуретановой изоляции основана на уникальных физико-механических свойствах этого материала: у него самая низкая из современных теплоизоляторов теплопроводность и обусловленная этим минимальная толщина изоляции. Срок эксплуатации ППУ по заявлениям производителей составляет свыше 30 лет с полным сохранением свойств. ППУ изоляция выдерживает температуру до 130 С, а при кратковременных воздействиях – до 150 С (при использовании двухслойной изоляции и более высокие температуры). Такая трубная изоляция устойчива к воздействию влаги, у нее высокая и долговечная сцепляемость с поверхностью трубы и гидрозащитной оболочкой. Материал имеет высокую механическую прочность.  Пенополиуретан инертен к щелочным и кислотным средам, защищает трубу от наружной коррозии и химически агрессивных сред, существенно продлевая срок службы труб, а также нетоксичен и безопасен для человека.</w:t>
      </w:r>
    </w:p>
    <w:p>
      <w:pPr>
        <w:suppressAutoHyphens w:val="0"/>
        <w:autoSpaceDE w:val="0"/>
        <w:adjustRightInd w:val="0"/>
        <w:jc w:val="center"/>
        <w:textAlignment w:val="auto"/>
        <w:rPr>
          <w:b/>
          <w:bCs/>
          <w:iCs/>
        </w:rPr>
      </w:pPr>
    </w:p>
    <w:p>
      <w:pPr>
        <w:suppressAutoHyphens w:val="0"/>
        <w:autoSpaceDE w:val="0"/>
        <w:adjustRightInd w:val="0"/>
        <w:jc w:val="center"/>
        <w:textAlignment w:val="auto"/>
        <w:rPr>
          <w:b/>
          <w:bCs/>
          <w:iCs/>
        </w:rPr>
      </w:pPr>
    </w:p>
    <w:p>
      <w:pPr>
        <w:suppressAutoHyphens w:val="0"/>
        <w:autoSpaceDE w:val="0"/>
        <w:adjustRightInd w:val="0"/>
        <w:jc w:val="center"/>
        <w:textAlignment w:val="auto"/>
        <w:rPr>
          <w:b/>
          <w:bCs/>
          <w:iCs/>
          <w:sz w:val="28"/>
          <w:szCs w:val="28"/>
        </w:rPr>
      </w:pPr>
      <w:r>
        <w:rPr>
          <w:b/>
          <w:bCs/>
          <w:iCs/>
          <w:sz w:val="28"/>
          <w:szCs w:val="28"/>
        </w:rPr>
        <w:t>Раздел 6. Перспективные топливные балансы.</w:t>
      </w:r>
    </w:p>
    <w:p>
      <w:pPr>
        <w:autoSpaceDE w:val="0"/>
        <w:jc w:val="center"/>
        <w:rPr>
          <w:rFonts w:eastAsia="Calibri"/>
          <w:color w:val="000000"/>
          <w:sz w:val="28"/>
          <w:szCs w:val="28"/>
          <w:lang w:eastAsia="en-US"/>
        </w:rPr>
      </w:pPr>
    </w:p>
    <w:p>
      <w:pPr>
        <w:autoSpaceDE w:val="0"/>
        <w:jc w:val="center"/>
        <w:rPr>
          <w:rFonts w:eastAsia="Calibri"/>
          <w:i/>
          <w:color w:val="000000"/>
          <w:sz w:val="28"/>
          <w:szCs w:val="28"/>
          <w:lang w:eastAsia="en-US"/>
        </w:rPr>
      </w:pPr>
      <w:r>
        <w:rPr>
          <w:rFonts w:eastAsia="Calibri"/>
          <w:i/>
          <w:color w:val="000000"/>
          <w:sz w:val="28"/>
          <w:szCs w:val="28"/>
          <w:lang w:eastAsia="en-US"/>
        </w:rPr>
        <w:t>Существующий баланс потребления топлива.</w:t>
      </w:r>
    </w:p>
    <w:p>
      <w:pPr>
        <w:autoSpaceDE w:val="0"/>
        <w:rPr>
          <w:rFonts w:eastAsia="Calibri"/>
          <w:color w:val="000000"/>
          <w:lang w:eastAsia="en-US"/>
        </w:rPr>
      </w:pPr>
    </w:p>
    <w:tbl>
      <w:tblPr>
        <w:tblStyle w:val="28"/>
        <w:tblW w:w="9213" w:type="dxa"/>
        <w:tblInd w:w="534" w:type="dxa"/>
        <w:tblLayout w:type="fixed"/>
        <w:tblCellMar>
          <w:top w:w="0" w:type="dxa"/>
          <w:left w:w="10" w:type="dxa"/>
          <w:bottom w:w="0" w:type="dxa"/>
          <w:right w:w="10" w:type="dxa"/>
        </w:tblCellMar>
      </w:tblPr>
      <w:tblGrid>
        <w:gridCol w:w="3827"/>
        <w:gridCol w:w="2268"/>
        <w:gridCol w:w="1559"/>
        <w:gridCol w:w="1559"/>
      </w:tblGrid>
      <w:tr>
        <w:tblPrEx>
          <w:tblLayout w:type="fixed"/>
          <w:tblCellMar>
            <w:top w:w="0" w:type="dxa"/>
            <w:left w:w="10" w:type="dxa"/>
            <w:bottom w:w="0" w:type="dxa"/>
            <w:right w:w="10" w:type="dxa"/>
          </w:tblCellMar>
        </w:tblPrEx>
        <w:trPr>
          <w:trHeight w:val="960" w:hRule="atLeast"/>
        </w:trPr>
        <w:tc>
          <w:tcPr>
            <w:tcW w:w="3827" w:type="dxa"/>
            <w:vMerge w:val="restart"/>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Наименование котельной.</w:t>
            </w:r>
          </w:p>
        </w:tc>
        <w:tc>
          <w:tcPr>
            <w:tcW w:w="2268"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pPr>
              <w:autoSpaceDE w:val="0"/>
              <w:jc w:val="center"/>
              <w:rPr>
                <w:rFonts w:eastAsia="Calibri"/>
                <w:color w:val="000000"/>
                <w:lang w:eastAsia="en-US"/>
              </w:rPr>
            </w:pPr>
            <w:r>
              <w:rPr>
                <w:rFonts w:eastAsia="Calibri"/>
                <w:color w:val="000000"/>
                <w:lang w:eastAsia="en-US"/>
              </w:rPr>
              <w:t>Существующий баланс основного топлива</w:t>
            </w:r>
          </w:p>
        </w:tc>
        <w:tc>
          <w:tcPr>
            <w:tcW w:w="1559" w:type="dxa"/>
            <w:vMerge w:val="restart"/>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pPr>
              <w:autoSpaceDE w:val="0"/>
              <w:jc w:val="center"/>
              <w:rPr>
                <w:rFonts w:eastAsia="Calibri"/>
                <w:color w:val="000000"/>
                <w:lang w:eastAsia="en-US"/>
              </w:rPr>
            </w:pPr>
            <w:r>
              <w:rPr>
                <w:rFonts w:eastAsia="Calibri"/>
                <w:color w:val="000000"/>
                <w:lang w:eastAsia="en-US"/>
              </w:rPr>
              <w:t>Основной вид топлива</w:t>
            </w:r>
          </w:p>
        </w:tc>
        <w:tc>
          <w:tcPr>
            <w:tcW w:w="1559" w:type="dxa"/>
            <w:vMerge w:val="restart"/>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pPr>
              <w:autoSpaceDE w:val="0"/>
              <w:jc w:val="center"/>
              <w:rPr>
                <w:rFonts w:eastAsia="Calibri"/>
                <w:color w:val="000000"/>
                <w:lang w:eastAsia="en-US"/>
              </w:rPr>
            </w:pPr>
            <w:r>
              <w:rPr>
                <w:rFonts w:eastAsia="Calibri"/>
                <w:color w:val="000000"/>
                <w:lang w:eastAsia="en-US"/>
              </w:rPr>
              <w:t>Резервный вид топлива</w:t>
            </w:r>
          </w:p>
        </w:tc>
      </w:tr>
      <w:tr>
        <w:tblPrEx>
          <w:tblLayout w:type="fixed"/>
          <w:tblCellMar>
            <w:top w:w="0" w:type="dxa"/>
            <w:left w:w="10" w:type="dxa"/>
            <w:bottom w:w="0" w:type="dxa"/>
            <w:right w:w="10" w:type="dxa"/>
          </w:tblCellMar>
        </w:tblPrEx>
        <w:trPr>
          <w:trHeight w:val="706" w:hRule="atLeast"/>
        </w:trPr>
        <w:tc>
          <w:tcPr>
            <w:tcW w:w="3827" w:type="dxa"/>
            <w:vMerge w:val="continue"/>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pPr>
              <w:autoSpaceDE w:val="0"/>
              <w:rPr>
                <w:rFonts w:eastAsia="Calibri"/>
                <w:color w:val="000000"/>
                <w:lang w:eastAsia="en-US"/>
              </w:rPr>
            </w:pPr>
          </w:p>
        </w:tc>
        <w:tc>
          <w:tcPr>
            <w:tcW w:w="2268"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pPr>
              <w:autoSpaceDE w:val="0"/>
              <w:jc w:val="center"/>
              <w:rPr>
                <w:rFonts w:eastAsia="Calibri"/>
                <w:color w:val="000000"/>
                <w:lang w:eastAsia="en-US"/>
              </w:rPr>
            </w:pPr>
            <w:r>
              <w:rPr>
                <w:rFonts w:eastAsia="Calibri"/>
                <w:color w:val="000000"/>
                <w:lang w:eastAsia="en-US"/>
              </w:rPr>
              <w:t>Годовой расход, т.у.т.</w:t>
            </w:r>
          </w:p>
        </w:tc>
        <w:tc>
          <w:tcPr>
            <w:tcW w:w="1559" w:type="dxa"/>
            <w:vMerge w:val="continue"/>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pPr>
              <w:autoSpaceDE w:val="0"/>
              <w:rPr>
                <w:rFonts w:eastAsia="Calibri"/>
                <w:color w:val="000000"/>
                <w:lang w:eastAsia="en-US"/>
              </w:rPr>
            </w:pPr>
          </w:p>
        </w:tc>
        <w:tc>
          <w:tcPr>
            <w:tcW w:w="1559" w:type="dxa"/>
            <w:vMerge w:val="continue"/>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pPr>
              <w:autoSpaceDE w:val="0"/>
              <w:rPr>
                <w:rFonts w:eastAsia="Calibri"/>
                <w:color w:val="000000"/>
                <w:lang w:eastAsia="en-US"/>
              </w:rPr>
            </w:pPr>
          </w:p>
        </w:tc>
      </w:tr>
      <w:tr>
        <w:tblPrEx>
          <w:tblLayout w:type="fixed"/>
          <w:tblCellMar>
            <w:top w:w="0" w:type="dxa"/>
            <w:left w:w="10" w:type="dxa"/>
            <w:bottom w:w="0" w:type="dxa"/>
            <w:right w:w="10" w:type="dxa"/>
          </w:tblCellMar>
        </w:tblPrEx>
        <w:trPr>
          <w:trHeight w:val="368" w:hRule="atLeast"/>
        </w:trPr>
        <w:tc>
          <w:tcPr>
            <w:tcW w:w="3827"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suppressAutoHyphens w:val="0"/>
              <w:autoSpaceDE w:val="0"/>
              <w:adjustRightInd w:val="0"/>
              <w:jc w:val="center"/>
              <w:textAlignment w:val="auto"/>
              <w:rPr>
                <w:bCs/>
                <w:iCs/>
              </w:rPr>
            </w:pPr>
            <w:r>
              <w:rPr>
                <w:bCs/>
                <w:iCs/>
              </w:rPr>
              <w:t>Котельная №2 х.Тормосин</w:t>
            </w:r>
          </w:p>
        </w:tc>
        <w:tc>
          <w:tcPr>
            <w:tcW w:w="2268"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92,51</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pPr>
              <w:autoSpaceDE w:val="0"/>
              <w:jc w:val="center"/>
              <w:rPr>
                <w:rFonts w:eastAsia="Calibri"/>
                <w:color w:val="000000"/>
                <w:lang w:eastAsia="en-US"/>
              </w:rPr>
            </w:pPr>
            <w:r>
              <w:rPr>
                <w:rFonts w:eastAsia="Calibri"/>
                <w:color w:val="000000"/>
                <w:lang w:eastAsia="en-US"/>
              </w:rPr>
              <w:t>Печное топливо</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Нет</w:t>
            </w:r>
          </w:p>
        </w:tc>
      </w:tr>
      <w:tr>
        <w:tblPrEx>
          <w:tblLayout w:type="fixed"/>
          <w:tblCellMar>
            <w:top w:w="0" w:type="dxa"/>
            <w:left w:w="10" w:type="dxa"/>
            <w:bottom w:w="0" w:type="dxa"/>
            <w:right w:w="10" w:type="dxa"/>
          </w:tblCellMar>
        </w:tblPrEx>
        <w:trPr>
          <w:trHeight w:val="368" w:hRule="atLeast"/>
        </w:trPr>
        <w:tc>
          <w:tcPr>
            <w:tcW w:w="3827"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suppressAutoHyphens w:val="0"/>
              <w:autoSpaceDE w:val="0"/>
              <w:adjustRightInd w:val="0"/>
              <w:jc w:val="center"/>
              <w:textAlignment w:val="auto"/>
              <w:rPr>
                <w:bCs/>
                <w:iCs/>
              </w:rPr>
            </w:pPr>
            <w:r>
              <w:rPr>
                <w:bCs/>
                <w:iCs/>
              </w:rPr>
              <w:t>Котельная №1 МКОУ «Тормосиновская СОШ»</w:t>
            </w:r>
          </w:p>
        </w:tc>
        <w:tc>
          <w:tcPr>
            <w:tcW w:w="2268"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95,18</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pPr>
              <w:autoSpaceDE w:val="0"/>
              <w:jc w:val="center"/>
              <w:rPr>
                <w:rFonts w:eastAsia="Calibri"/>
                <w:color w:val="000000"/>
                <w:lang w:eastAsia="en-US"/>
              </w:rPr>
            </w:pPr>
            <w:r>
              <w:rPr>
                <w:rFonts w:eastAsia="Calibri"/>
                <w:color w:val="000000"/>
                <w:lang w:eastAsia="en-US"/>
              </w:rPr>
              <w:t>Печное топливо</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Нет</w:t>
            </w:r>
          </w:p>
        </w:tc>
      </w:tr>
      <w:tr>
        <w:tblPrEx>
          <w:tblLayout w:type="fixed"/>
          <w:tblCellMar>
            <w:top w:w="0" w:type="dxa"/>
            <w:left w:w="10" w:type="dxa"/>
            <w:bottom w:w="0" w:type="dxa"/>
            <w:right w:w="10" w:type="dxa"/>
          </w:tblCellMar>
        </w:tblPrEx>
        <w:trPr>
          <w:trHeight w:val="368" w:hRule="atLeast"/>
        </w:trPr>
        <w:tc>
          <w:tcPr>
            <w:tcW w:w="3827"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suppressAutoHyphens w:val="0"/>
              <w:autoSpaceDE w:val="0"/>
              <w:adjustRightInd w:val="0"/>
              <w:jc w:val="center"/>
              <w:textAlignment w:val="auto"/>
              <w:rPr>
                <w:bCs/>
                <w:iCs/>
              </w:rPr>
            </w:pPr>
            <w:r>
              <w:rPr>
                <w:bCs/>
                <w:iCs/>
              </w:rPr>
              <w:t>Котельная  ГОУ «Тормосиновская ШИ ДСиДОБПР»</w:t>
            </w:r>
          </w:p>
        </w:tc>
        <w:tc>
          <w:tcPr>
            <w:tcW w:w="2268"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78,53</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pPr>
              <w:autoSpaceDE w:val="0"/>
              <w:jc w:val="center"/>
              <w:rPr>
                <w:rFonts w:eastAsia="Calibri"/>
                <w:color w:val="000000"/>
                <w:lang w:eastAsia="en-US"/>
              </w:rPr>
            </w:pPr>
            <w:r>
              <w:rPr>
                <w:rFonts w:eastAsia="Calibri"/>
                <w:color w:val="000000"/>
                <w:lang w:eastAsia="en-US"/>
              </w:rPr>
              <w:t>Твердое топливо</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Нет</w:t>
            </w:r>
          </w:p>
        </w:tc>
      </w:tr>
    </w:tbl>
    <w:p>
      <w:pPr>
        <w:autoSpaceDE w:val="0"/>
        <w:rPr>
          <w:rFonts w:eastAsia="Calibri"/>
          <w:color w:val="000000"/>
          <w:sz w:val="28"/>
          <w:szCs w:val="28"/>
          <w:lang w:eastAsia="en-US"/>
        </w:rPr>
      </w:pPr>
    </w:p>
    <w:p>
      <w:pPr>
        <w:autoSpaceDE w:val="0"/>
        <w:jc w:val="center"/>
        <w:rPr>
          <w:rFonts w:eastAsia="Calibri"/>
          <w:i/>
          <w:color w:val="000000"/>
          <w:lang w:eastAsia="en-US"/>
        </w:rPr>
      </w:pPr>
    </w:p>
    <w:p>
      <w:pPr>
        <w:autoSpaceDE w:val="0"/>
        <w:jc w:val="center"/>
        <w:rPr>
          <w:rFonts w:eastAsia="Calibri"/>
          <w:i/>
          <w:color w:val="000000"/>
          <w:sz w:val="28"/>
          <w:szCs w:val="28"/>
          <w:lang w:eastAsia="en-US"/>
        </w:rPr>
      </w:pPr>
    </w:p>
    <w:p>
      <w:pPr>
        <w:autoSpaceDE w:val="0"/>
        <w:jc w:val="center"/>
        <w:rPr>
          <w:rFonts w:eastAsia="Calibri"/>
          <w:i/>
          <w:color w:val="000000"/>
          <w:sz w:val="28"/>
          <w:szCs w:val="28"/>
          <w:lang w:eastAsia="en-US"/>
        </w:rPr>
      </w:pPr>
      <w:r>
        <w:rPr>
          <w:rFonts w:eastAsia="Calibri"/>
          <w:i/>
          <w:color w:val="000000"/>
          <w:sz w:val="28"/>
          <w:szCs w:val="28"/>
          <w:lang w:eastAsia="en-US"/>
        </w:rPr>
        <w:t>Перспективный баланс потребления топлива.</w:t>
      </w:r>
    </w:p>
    <w:p>
      <w:pPr>
        <w:autoSpaceDE w:val="0"/>
        <w:jc w:val="right"/>
        <w:rPr>
          <w:rFonts w:eastAsia="Calibri"/>
          <w:color w:val="000000"/>
          <w:sz w:val="28"/>
          <w:szCs w:val="28"/>
          <w:lang w:eastAsia="en-US"/>
        </w:rPr>
      </w:pPr>
    </w:p>
    <w:tbl>
      <w:tblPr>
        <w:tblStyle w:val="28"/>
        <w:tblW w:w="9213" w:type="dxa"/>
        <w:tblInd w:w="534" w:type="dxa"/>
        <w:tblLayout w:type="fixed"/>
        <w:tblCellMar>
          <w:top w:w="0" w:type="dxa"/>
          <w:left w:w="10" w:type="dxa"/>
          <w:bottom w:w="0" w:type="dxa"/>
          <w:right w:w="10" w:type="dxa"/>
        </w:tblCellMar>
      </w:tblPr>
      <w:tblGrid>
        <w:gridCol w:w="3827"/>
        <w:gridCol w:w="2268"/>
        <w:gridCol w:w="1559"/>
        <w:gridCol w:w="1559"/>
      </w:tblGrid>
      <w:tr>
        <w:tblPrEx>
          <w:tblLayout w:type="fixed"/>
          <w:tblCellMar>
            <w:top w:w="0" w:type="dxa"/>
            <w:left w:w="10" w:type="dxa"/>
            <w:bottom w:w="0" w:type="dxa"/>
            <w:right w:w="10" w:type="dxa"/>
          </w:tblCellMar>
        </w:tblPrEx>
        <w:trPr>
          <w:trHeight w:val="960" w:hRule="atLeast"/>
        </w:trPr>
        <w:tc>
          <w:tcPr>
            <w:tcW w:w="3827" w:type="dxa"/>
            <w:vMerge w:val="restart"/>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Наименование котельной.</w:t>
            </w:r>
          </w:p>
        </w:tc>
        <w:tc>
          <w:tcPr>
            <w:tcW w:w="2268"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pPr>
              <w:autoSpaceDE w:val="0"/>
              <w:jc w:val="center"/>
              <w:rPr>
                <w:rFonts w:eastAsia="Calibri"/>
                <w:color w:val="000000"/>
                <w:lang w:eastAsia="en-US"/>
              </w:rPr>
            </w:pPr>
            <w:r>
              <w:rPr>
                <w:rFonts w:eastAsia="Calibri"/>
                <w:color w:val="000000"/>
                <w:lang w:eastAsia="en-US"/>
              </w:rPr>
              <w:t>Перспективный баланс основного топлива</w:t>
            </w:r>
          </w:p>
        </w:tc>
        <w:tc>
          <w:tcPr>
            <w:tcW w:w="1559" w:type="dxa"/>
            <w:vMerge w:val="restart"/>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pPr>
              <w:autoSpaceDE w:val="0"/>
              <w:jc w:val="center"/>
              <w:rPr>
                <w:rFonts w:eastAsia="Calibri"/>
                <w:color w:val="000000"/>
                <w:lang w:eastAsia="en-US"/>
              </w:rPr>
            </w:pPr>
            <w:r>
              <w:rPr>
                <w:rFonts w:eastAsia="Calibri"/>
                <w:color w:val="000000"/>
                <w:lang w:eastAsia="en-US"/>
              </w:rPr>
              <w:t>Основной вид топлива</w:t>
            </w:r>
          </w:p>
        </w:tc>
        <w:tc>
          <w:tcPr>
            <w:tcW w:w="1559" w:type="dxa"/>
            <w:vMerge w:val="restart"/>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pPr>
              <w:autoSpaceDE w:val="0"/>
              <w:jc w:val="center"/>
              <w:rPr>
                <w:rFonts w:eastAsia="Calibri"/>
                <w:color w:val="000000"/>
                <w:lang w:eastAsia="en-US"/>
              </w:rPr>
            </w:pPr>
            <w:r>
              <w:rPr>
                <w:rFonts w:eastAsia="Calibri"/>
                <w:color w:val="000000"/>
                <w:lang w:eastAsia="en-US"/>
              </w:rPr>
              <w:t>Резервный вид топлива</w:t>
            </w:r>
          </w:p>
        </w:tc>
      </w:tr>
      <w:tr>
        <w:tblPrEx>
          <w:tblLayout w:type="fixed"/>
          <w:tblCellMar>
            <w:top w:w="0" w:type="dxa"/>
            <w:left w:w="10" w:type="dxa"/>
            <w:bottom w:w="0" w:type="dxa"/>
            <w:right w:w="10" w:type="dxa"/>
          </w:tblCellMar>
        </w:tblPrEx>
        <w:trPr>
          <w:trHeight w:val="706" w:hRule="atLeast"/>
        </w:trPr>
        <w:tc>
          <w:tcPr>
            <w:tcW w:w="3827" w:type="dxa"/>
            <w:vMerge w:val="continue"/>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pPr>
              <w:autoSpaceDE w:val="0"/>
              <w:rPr>
                <w:rFonts w:eastAsia="Calibri"/>
                <w:color w:val="000000"/>
                <w:lang w:eastAsia="en-US"/>
              </w:rPr>
            </w:pPr>
          </w:p>
        </w:tc>
        <w:tc>
          <w:tcPr>
            <w:tcW w:w="2268"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pPr>
              <w:autoSpaceDE w:val="0"/>
              <w:jc w:val="center"/>
              <w:rPr>
                <w:rFonts w:eastAsia="Calibri"/>
                <w:color w:val="000000"/>
                <w:lang w:eastAsia="en-US"/>
              </w:rPr>
            </w:pPr>
            <w:r>
              <w:rPr>
                <w:rFonts w:eastAsia="Calibri"/>
                <w:color w:val="000000"/>
                <w:lang w:eastAsia="en-US"/>
              </w:rPr>
              <w:t>Годовой расход, т.у.т.</w:t>
            </w:r>
          </w:p>
        </w:tc>
        <w:tc>
          <w:tcPr>
            <w:tcW w:w="1559" w:type="dxa"/>
            <w:vMerge w:val="continue"/>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pPr>
              <w:autoSpaceDE w:val="0"/>
              <w:rPr>
                <w:rFonts w:eastAsia="Calibri"/>
                <w:color w:val="000000"/>
                <w:lang w:eastAsia="en-US"/>
              </w:rPr>
            </w:pPr>
          </w:p>
        </w:tc>
        <w:tc>
          <w:tcPr>
            <w:tcW w:w="1559" w:type="dxa"/>
            <w:vMerge w:val="continue"/>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pPr>
              <w:autoSpaceDE w:val="0"/>
              <w:rPr>
                <w:rFonts w:eastAsia="Calibri"/>
                <w:color w:val="000000"/>
                <w:lang w:eastAsia="en-US"/>
              </w:rPr>
            </w:pPr>
          </w:p>
        </w:tc>
      </w:tr>
      <w:tr>
        <w:tblPrEx>
          <w:tblLayout w:type="fixed"/>
          <w:tblCellMar>
            <w:top w:w="0" w:type="dxa"/>
            <w:left w:w="10" w:type="dxa"/>
            <w:bottom w:w="0" w:type="dxa"/>
            <w:right w:w="10" w:type="dxa"/>
          </w:tblCellMar>
        </w:tblPrEx>
        <w:trPr>
          <w:trHeight w:val="368" w:hRule="atLeast"/>
        </w:trPr>
        <w:tc>
          <w:tcPr>
            <w:tcW w:w="3827"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suppressAutoHyphens w:val="0"/>
              <w:autoSpaceDE w:val="0"/>
              <w:adjustRightInd w:val="0"/>
              <w:jc w:val="center"/>
              <w:textAlignment w:val="auto"/>
              <w:rPr>
                <w:bCs/>
                <w:iCs/>
              </w:rPr>
            </w:pPr>
            <w:r>
              <w:rPr>
                <w:bCs/>
                <w:iCs/>
              </w:rPr>
              <w:t>Котельная №2 х.Тормосин</w:t>
            </w:r>
          </w:p>
        </w:tc>
        <w:tc>
          <w:tcPr>
            <w:tcW w:w="2268"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84,78</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Газ</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Нет</w:t>
            </w:r>
          </w:p>
        </w:tc>
      </w:tr>
      <w:tr>
        <w:tblPrEx>
          <w:tblLayout w:type="fixed"/>
          <w:tblCellMar>
            <w:top w:w="0" w:type="dxa"/>
            <w:left w:w="10" w:type="dxa"/>
            <w:bottom w:w="0" w:type="dxa"/>
            <w:right w:w="10" w:type="dxa"/>
          </w:tblCellMar>
        </w:tblPrEx>
        <w:trPr>
          <w:trHeight w:val="368" w:hRule="atLeast"/>
        </w:trPr>
        <w:tc>
          <w:tcPr>
            <w:tcW w:w="3827"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suppressAutoHyphens w:val="0"/>
              <w:autoSpaceDE w:val="0"/>
              <w:adjustRightInd w:val="0"/>
              <w:jc w:val="center"/>
              <w:textAlignment w:val="auto"/>
              <w:rPr>
                <w:bCs/>
                <w:iCs/>
              </w:rPr>
            </w:pPr>
            <w:r>
              <w:rPr>
                <w:bCs/>
                <w:iCs/>
              </w:rPr>
              <w:t>Котельная №1 МКОУ «Тормосиновская СОШ»</w:t>
            </w:r>
          </w:p>
        </w:tc>
        <w:tc>
          <w:tcPr>
            <w:tcW w:w="2268"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91,53</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jc w:val="center"/>
            </w:pPr>
            <w:r>
              <w:rPr>
                <w:rFonts w:eastAsia="Calibri"/>
                <w:color w:val="000000"/>
                <w:lang w:eastAsia="en-US"/>
              </w:rPr>
              <w:t>Газ</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Нет</w:t>
            </w:r>
          </w:p>
        </w:tc>
      </w:tr>
      <w:tr>
        <w:tblPrEx>
          <w:tblLayout w:type="fixed"/>
          <w:tblCellMar>
            <w:top w:w="0" w:type="dxa"/>
            <w:left w:w="10" w:type="dxa"/>
            <w:bottom w:w="0" w:type="dxa"/>
            <w:right w:w="10" w:type="dxa"/>
          </w:tblCellMar>
        </w:tblPrEx>
        <w:trPr>
          <w:trHeight w:val="368" w:hRule="atLeast"/>
        </w:trPr>
        <w:tc>
          <w:tcPr>
            <w:tcW w:w="3827"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suppressAutoHyphens w:val="0"/>
              <w:autoSpaceDE w:val="0"/>
              <w:adjustRightInd w:val="0"/>
              <w:jc w:val="center"/>
              <w:textAlignment w:val="auto"/>
              <w:rPr>
                <w:bCs/>
                <w:iCs/>
              </w:rPr>
            </w:pPr>
            <w:r>
              <w:rPr>
                <w:bCs/>
                <w:iCs/>
              </w:rPr>
              <w:t>Котельная  ГОУ «Тормосиновская ШИ ДСиДОБПР»</w:t>
            </w:r>
          </w:p>
        </w:tc>
        <w:tc>
          <w:tcPr>
            <w:tcW w:w="2268"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57,41</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jc w:val="center"/>
            </w:pPr>
            <w:r>
              <w:rPr>
                <w:rFonts w:eastAsia="Calibri"/>
                <w:color w:val="000000"/>
                <w:lang w:eastAsia="en-US"/>
              </w:rPr>
              <w:t>Газ</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Нет</w:t>
            </w:r>
          </w:p>
        </w:tc>
      </w:tr>
      <w:tr>
        <w:tblPrEx>
          <w:tblLayout w:type="fixed"/>
          <w:tblCellMar>
            <w:top w:w="0" w:type="dxa"/>
            <w:left w:w="10" w:type="dxa"/>
            <w:bottom w:w="0" w:type="dxa"/>
            <w:right w:w="10" w:type="dxa"/>
          </w:tblCellMar>
        </w:tblPrEx>
        <w:trPr>
          <w:trHeight w:val="368" w:hRule="atLeast"/>
        </w:trPr>
        <w:tc>
          <w:tcPr>
            <w:tcW w:w="3827"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suppressAutoHyphens w:val="0"/>
              <w:autoSpaceDE w:val="0"/>
              <w:adjustRightInd w:val="0"/>
              <w:jc w:val="center"/>
              <w:textAlignment w:val="auto"/>
              <w:rPr>
                <w:bCs/>
                <w:iCs/>
              </w:rPr>
            </w:pPr>
            <w:r>
              <w:rPr>
                <w:bCs/>
                <w:iCs/>
              </w:rPr>
              <w:t>Котельная МУК «Тормосиновский СДК» в х.Тормосин</w:t>
            </w:r>
          </w:p>
        </w:tc>
        <w:tc>
          <w:tcPr>
            <w:tcW w:w="2268"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36,34</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jc w:val="center"/>
            </w:pPr>
            <w:r>
              <w:rPr>
                <w:rFonts w:eastAsia="Calibri"/>
                <w:color w:val="000000"/>
                <w:lang w:eastAsia="en-US"/>
              </w:rPr>
              <w:t>Газ</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jc w:val="center"/>
            </w:pPr>
            <w:r>
              <w:t>Нет</w:t>
            </w:r>
          </w:p>
        </w:tc>
      </w:tr>
      <w:tr>
        <w:tblPrEx>
          <w:tblLayout w:type="fixed"/>
          <w:tblCellMar>
            <w:top w:w="0" w:type="dxa"/>
            <w:left w:w="10" w:type="dxa"/>
            <w:bottom w:w="0" w:type="dxa"/>
            <w:right w:w="10" w:type="dxa"/>
          </w:tblCellMar>
        </w:tblPrEx>
        <w:trPr>
          <w:trHeight w:val="368" w:hRule="atLeast"/>
        </w:trPr>
        <w:tc>
          <w:tcPr>
            <w:tcW w:w="3827"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suppressAutoHyphens w:val="0"/>
              <w:autoSpaceDE w:val="0"/>
              <w:adjustRightInd w:val="0"/>
              <w:jc w:val="center"/>
              <w:textAlignment w:val="auto"/>
              <w:rPr>
                <w:bCs/>
                <w:iCs/>
              </w:rPr>
            </w:pPr>
            <w:r>
              <w:rPr>
                <w:bCs/>
                <w:iCs/>
              </w:rPr>
              <w:t>МКОУ «Тормосиновская СОШ» в х. Морской</w:t>
            </w:r>
          </w:p>
        </w:tc>
        <w:tc>
          <w:tcPr>
            <w:tcW w:w="2268"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12,13</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jc w:val="center"/>
            </w:pPr>
            <w:r>
              <w:rPr>
                <w:rFonts w:eastAsia="Calibri"/>
                <w:color w:val="000000"/>
                <w:lang w:eastAsia="en-US"/>
              </w:rPr>
              <w:t>Газ</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jc w:val="center"/>
            </w:pPr>
            <w:r>
              <w:t>Нет</w:t>
            </w:r>
          </w:p>
        </w:tc>
      </w:tr>
      <w:tr>
        <w:tblPrEx>
          <w:tblLayout w:type="fixed"/>
          <w:tblCellMar>
            <w:top w:w="0" w:type="dxa"/>
            <w:left w:w="10" w:type="dxa"/>
            <w:bottom w:w="0" w:type="dxa"/>
            <w:right w:w="10" w:type="dxa"/>
          </w:tblCellMar>
        </w:tblPrEx>
        <w:trPr>
          <w:trHeight w:val="368" w:hRule="atLeast"/>
        </w:trPr>
        <w:tc>
          <w:tcPr>
            <w:tcW w:w="3827"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suppressAutoHyphens w:val="0"/>
              <w:autoSpaceDE w:val="0"/>
              <w:adjustRightInd w:val="0"/>
              <w:jc w:val="center"/>
              <w:textAlignment w:val="auto"/>
              <w:rPr>
                <w:bCs/>
                <w:iCs/>
              </w:rPr>
            </w:pPr>
            <w:r>
              <w:rPr>
                <w:bCs/>
                <w:iCs/>
              </w:rPr>
              <w:t>МУК «Тормосиновский СДК» в х. Морской</w:t>
            </w:r>
          </w:p>
        </w:tc>
        <w:tc>
          <w:tcPr>
            <w:tcW w:w="2268"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autoSpaceDE w:val="0"/>
              <w:jc w:val="center"/>
              <w:rPr>
                <w:rFonts w:eastAsia="Calibri"/>
                <w:color w:val="000000"/>
                <w:lang w:eastAsia="en-US"/>
              </w:rPr>
            </w:pPr>
            <w:r>
              <w:rPr>
                <w:rFonts w:eastAsia="Calibri"/>
                <w:color w:val="000000"/>
                <w:lang w:eastAsia="en-US"/>
              </w:rPr>
              <w:t>15,17</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jc w:val="center"/>
            </w:pPr>
            <w:r>
              <w:rPr>
                <w:rFonts w:eastAsia="Calibri"/>
                <w:color w:val="000000"/>
                <w:lang w:eastAsia="en-US"/>
              </w:rPr>
              <w:t>Газ</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pPr>
              <w:jc w:val="center"/>
            </w:pPr>
            <w:r>
              <w:t>Нет</w:t>
            </w:r>
          </w:p>
        </w:tc>
      </w:tr>
    </w:tbl>
    <w:p>
      <w:pPr>
        <w:autoSpaceDE w:val="0"/>
        <w:jc w:val="center"/>
        <w:rPr>
          <w:rFonts w:eastAsia="Calibri"/>
          <w:color w:val="000000"/>
          <w:sz w:val="28"/>
          <w:szCs w:val="28"/>
          <w:lang w:eastAsia="en-US"/>
        </w:rPr>
      </w:pPr>
    </w:p>
    <w:p>
      <w:pPr>
        <w:suppressAutoHyphens w:val="0"/>
        <w:autoSpaceDE w:val="0"/>
        <w:adjustRightInd w:val="0"/>
        <w:jc w:val="both"/>
        <w:textAlignment w:val="auto"/>
        <w:rPr>
          <w:b/>
          <w:bCs/>
          <w:iCs/>
        </w:rPr>
      </w:pPr>
    </w:p>
    <w:p>
      <w:pPr>
        <w:suppressAutoHyphens w:val="0"/>
        <w:autoSpaceDE w:val="0"/>
        <w:adjustRightInd w:val="0"/>
        <w:jc w:val="both"/>
        <w:textAlignment w:val="auto"/>
        <w:rPr>
          <w:b/>
          <w:bCs/>
          <w:iCs/>
        </w:rPr>
      </w:pPr>
    </w:p>
    <w:p>
      <w:pPr>
        <w:suppressAutoHyphens w:val="0"/>
        <w:autoSpaceDE w:val="0"/>
        <w:adjustRightInd w:val="0"/>
        <w:jc w:val="center"/>
        <w:textAlignment w:val="auto"/>
        <w:rPr>
          <w:b/>
          <w:bCs/>
          <w:iCs/>
          <w:sz w:val="28"/>
          <w:szCs w:val="28"/>
        </w:rPr>
      </w:pPr>
      <w:r>
        <w:rPr>
          <w:b/>
          <w:bCs/>
          <w:iCs/>
          <w:sz w:val="28"/>
          <w:szCs w:val="28"/>
        </w:rPr>
        <w:t xml:space="preserve">Раздел 7. Инвестиции в строительство, реконструкцию </w:t>
      </w:r>
    </w:p>
    <w:p>
      <w:pPr>
        <w:suppressAutoHyphens w:val="0"/>
        <w:autoSpaceDE w:val="0"/>
        <w:adjustRightInd w:val="0"/>
        <w:jc w:val="center"/>
        <w:textAlignment w:val="auto"/>
        <w:rPr>
          <w:b/>
          <w:bCs/>
          <w:iCs/>
          <w:sz w:val="28"/>
          <w:szCs w:val="28"/>
        </w:rPr>
      </w:pPr>
      <w:r>
        <w:rPr>
          <w:b/>
          <w:bCs/>
          <w:iCs/>
          <w:sz w:val="28"/>
          <w:szCs w:val="28"/>
        </w:rPr>
        <w:t>и техническое перевооружение.</w:t>
      </w:r>
    </w:p>
    <w:p>
      <w:pPr>
        <w:suppressAutoHyphens w:val="0"/>
        <w:autoSpaceDE w:val="0"/>
        <w:adjustRightInd w:val="0"/>
        <w:jc w:val="center"/>
        <w:textAlignment w:val="auto"/>
        <w:rPr>
          <w:b/>
          <w:bCs/>
          <w:iCs/>
          <w:sz w:val="28"/>
          <w:szCs w:val="28"/>
        </w:rPr>
      </w:pPr>
    </w:p>
    <w:p>
      <w:pPr>
        <w:suppressAutoHyphens w:val="0"/>
        <w:autoSpaceDE w:val="0"/>
        <w:adjustRightInd w:val="0"/>
        <w:jc w:val="both"/>
        <w:textAlignment w:val="auto"/>
        <w:rPr>
          <w:bCs/>
          <w:iCs/>
          <w:sz w:val="28"/>
          <w:szCs w:val="28"/>
        </w:rPr>
      </w:pPr>
      <w:r>
        <w:rPr>
          <w:bCs/>
          <w:iCs/>
          <w:sz w:val="28"/>
          <w:szCs w:val="28"/>
        </w:rPr>
        <w:t xml:space="preserve">      Новое строительство и реконструкция источников тепловой энергии будет возможным только при условии привлечения денежных средств из областного и (или) федерального бюджета (ов). </w:t>
      </w:r>
    </w:p>
    <w:p>
      <w:pPr>
        <w:suppressAutoHyphens w:val="0"/>
        <w:autoSpaceDE w:val="0"/>
        <w:adjustRightInd w:val="0"/>
        <w:jc w:val="both"/>
        <w:textAlignment w:val="auto"/>
        <w:rPr>
          <w:bCs/>
          <w:iCs/>
          <w:sz w:val="28"/>
          <w:szCs w:val="28"/>
        </w:rPr>
      </w:pPr>
      <w:r>
        <w:rPr>
          <w:bCs/>
          <w:iCs/>
          <w:sz w:val="28"/>
          <w:szCs w:val="28"/>
        </w:rPr>
        <w:t xml:space="preserve">  </w:t>
      </w:r>
    </w:p>
    <w:tbl>
      <w:tblPr>
        <w:tblStyle w:val="28"/>
        <w:tblW w:w="9639" w:type="dxa"/>
        <w:tblInd w:w="39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7"/>
        <w:gridCol w:w="3267"/>
        <w:gridCol w:w="985"/>
        <w:gridCol w:w="1134"/>
        <w:gridCol w:w="993"/>
        <w:gridCol w:w="992"/>
        <w:gridCol w:w="850"/>
        <w:gridCol w:w="8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67" w:type="dxa"/>
            <w:vMerge w:val="restart"/>
            <w:vAlign w:val="center"/>
          </w:tcPr>
          <w:p>
            <w:pPr>
              <w:suppressAutoHyphens w:val="0"/>
              <w:autoSpaceDN/>
              <w:ind w:right="-115"/>
              <w:jc w:val="center"/>
              <w:textAlignment w:val="auto"/>
            </w:pPr>
            <w:r>
              <w:t>№ п/п</w:t>
            </w:r>
          </w:p>
        </w:tc>
        <w:tc>
          <w:tcPr>
            <w:tcW w:w="3267" w:type="dxa"/>
            <w:vMerge w:val="restart"/>
            <w:vAlign w:val="center"/>
          </w:tcPr>
          <w:p>
            <w:pPr>
              <w:suppressAutoHyphens w:val="0"/>
              <w:autoSpaceDN/>
              <w:jc w:val="center"/>
              <w:textAlignment w:val="auto"/>
            </w:pPr>
            <w:r>
              <w:t>Наименование мероприятий</w:t>
            </w:r>
          </w:p>
        </w:tc>
        <w:tc>
          <w:tcPr>
            <w:tcW w:w="985" w:type="dxa"/>
            <w:vMerge w:val="restart"/>
            <w:vAlign w:val="center"/>
          </w:tcPr>
          <w:p>
            <w:pPr>
              <w:suppressAutoHyphens w:val="0"/>
              <w:autoSpaceDN/>
              <w:jc w:val="center"/>
              <w:textAlignment w:val="auto"/>
            </w:pPr>
            <w:r>
              <w:t>Стоимость, тыс руб</w:t>
            </w:r>
          </w:p>
        </w:tc>
        <w:tc>
          <w:tcPr>
            <w:tcW w:w="1134" w:type="dxa"/>
            <w:vMerge w:val="restart"/>
          </w:tcPr>
          <w:p>
            <w:pPr>
              <w:suppressAutoHyphens w:val="0"/>
              <w:autoSpaceDN/>
              <w:jc w:val="center"/>
              <w:textAlignment w:val="auto"/>
            </w:pPr>
            <w:r>
              <w:t>Источник финансирования</w:t>
            </w:r>
          </w:p>
        </w:tc>
        <w:tc>
          <w:tcPr>
            <w:tcW w:w="3686" w:type="dxa"/>
            <w:gridSpan w:val="4"/>
            <w:vAlign w:val="center"/>
          </w:tcPr>
          <w:p>
            <w:pPr>
              <w:suppressAutoHyphens w:val="0"/>
              <w:autoSpaceDN/>
              <w:jc w:val="center"/>
              <w:textAlignment w:val="auto"/>
            </w:pPr>
            <w:r>
              <w:t xml:space="preserve">План реализации инвестиционной программы по годам, </w:t>
            </w:r>
          </w:p>
          <w:p>
            <w:pPr>
              <w:suppressAutoHyphens w:val="0"/>
              <w:autoSpaceDN/>
              <w:jc w:val="center"/>
              <w:textAlignment w:val="auto"/>
            </w:pPr>
            <w:r>
              <w:t>тыс. руб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67" w:type="dxa"/>
            <w:vMerge w:val="continue"/>
          </w:tcPr>
          <w:p>
            <w:pPr>
              <w:suppressAutoHyphens w:val="0"/>
              <w:autoSpaceDN/>
              <w:ind w:right="-115"/>
              <w:textAlignment w:val="auto"/>
            </w:pPr>
          </w:p>
        </w:tc>
        <w:tc>
          <w:tcPr>
            <w:tcW w:w="3267" w:type="dxa"/>
            <w:vMerge w:val="continue"/>
          </w:tcPr>
          <w:p>
            <w:pPr>
              <w:suppressAutoHyphens w:val="0"/>
              <w:autoSpaceDN/>
              <w:textAlignment w:val="auto"/>
            </w:pPr>
          </w:p>
        </w:tc>
        <w:tc>
          <w:tcPr>
            <w:tcW w:w="985" w:type="dxa"/>
            <w:vMerge w:val="continue"/>
          </w:tcPr>
          <w:p>
            <w:pPr>
              <w:suppressAutoHyphens w:val="0"/>
              <w:autoSpaceDN/>
              <w:textAlignment w:val="auto"/>
            </w:pPr>
          </w:p>
        </w:tc>
        <w:tc>
          <w:tcPr>
            <w:tcW w:w="1134" w:type="dxa"/>
            <w:vMerge w:val="continue"/>
          </w:tcPr>
          <w:p>
            <w:pPr>
              <w:suppressAutoHyphens w:val="0"/>
              <w:autoSpaceDN/>
              <w:textAlignment w:val="auto"/>
            </w:pPr>
          </w:p>
        </w:tc>
        <w:tc>
          <w:tcPr>
            <w:tcW w:w="993" w:type="dxa"/>
          </w:tcPr>
          <w:p>
            <w:pPr>
              <w:suppressAutoHyphens w:val="0"/>
              <w:autoSpaceDN/>
              <w:textAlignment w:val="auto"/>
            </w:pPr>
            <w:r>
              <w:t>2014-2015</w:t>
            </w:r>
          </w:p>
        </w:tc>
        <w:tc>
          <w:tcPr>
            <w:tcW w:w="992" w:type="dxa"/>
          </w:tcPr>
          <w:p>
            <w:pPr>
              <w:suppressAutoHyphens w:val="0"/>
              <w:autoSpaceDN/>
              <w:textAlignment w:val="auto"/>
            </w:pPr>
            <w:r>
              <w:t>2016-2020</w:t>
            </w:r>
          </w:p>
        </w:tc>
        <w:tc>
          <w:tcPr>
            <w:tcW w:w="850" w:type="dxa"/>
          </w:tcPr>
          <w:p>
            <w:pPr>
              <w:suppressAutoHyphens w:val="0"/>
              <w:autoSpaceDN/>
              <w:textAlignment w:val="auto"/>
            </w:pPr>
            <w:r>
              <w:t>2021-2025</w:t>
            </w:r>
          </w:p>
        </w:tc>
        <w:tc>
          <w:tcPr>
            <w:tcW w:w="851" w:type="dxa"/>
          </w:tcPr>
          <w:p>
            <w:pPr>
              <w:suppressAutoHyphens w:val="0"/>
              <w:autoSpaceDN/>
              <w:textAlignment w:val="auto"/>
            </w:pPr>
            <w:r>
              <w:t>2026-2030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67" w:type="dxa"/>
            <w:vAlign w:val="center"/>
          </w:tcPr>
          <w:p>
            <w:pPr>
              <w:suppressAutoHyphens w:val="0"/>
              <w:autoSpaceDN/>
              <w:ind w:right="-115"/>
              <w:jc w:val="center"/>
              <w:textAlignment w:val="auto"/>
            </w:pPr>
            <w:r>
              <w:t>1.</w:t>
            </w:r>
          </w:p>
        </w:tc>
        <w:tc>
          <w:tcPr>
            <w:tcW w:w="3267" w:type="dxa"/>
            <w:vAlign w:val="center"/>
          </w:tcPr>
          <w:p>
            <w:pPr>
              <w:suppressAutoHyphens w:val="0"/>
              <w:autoSpaceDN/>
              <w:jc w:val="both"/>
              <w:textAlignment w:val="auto"/>
            </w:pPr>
            <w:r>
              <w:t>Разработка проектно-сметной документации и устройство блочно-модульной котельной мощностью 600 кВт для отопления зданий ГБУЗ «Чернышковская ЦРБ» и здания МДОУ «Тормосиновский детский сад «Ромашка»</w:t>
            </w:r>
          </w:p>
        </w:tc>
        <w:tc>
          <w:tcPr>
            <w:tcW w:w="985" w:type="dxa"/>
            <w:vAlign w:val="center"/>
          </w:tcPr>
          <w:p>
            <w:pPr>
              <w:suppressAutoHyphens w:val="0"/>
              <w:autoSpaceDN/>
              <w:jc w:val="center"/>
              <w:textAlignment w:val="auto"/>
            </w:pPr>
            <w:r>
              <w:t>8000</w:t>
            </w:r>
          </w:p>
        </w:tc>
        <w:tc>
          <w:tcPr>
            <w:tcW w:w="1134" w:type="dxa"/>
            <w:vAlign w:val="center"/>
          </w:tcPr>
          <w:p>
            <w:pPr>
              <w:suppressAutoHyphens w:val="0"/>
              <w:autoSpaceDN/>
              <w:jc w:val="center"/>
              <w:textAlignment w:val="auto"/>
            </w:pPr>
            <w:r>
              <w:t>областной и местный бюджет</w:t>
            </w:r>
          </w:p>
        </w:tc>
        <w:tc>
          <w:tcPr>
            <w:tcW w:w="993" w:type="dxa"/>
            <w:vAlign w:val="center"/>
          </w:tcPr>
          <w:p>
            <w:pPr>
              <w:suppressAutoHyphens w:val="0"/>
              <w:autoSpaceDN/>
              <w:jc w:val="center"/>
              <w:textAlignment w:val="auto"/>
            </w:pPr>
            <w:r>
              <w:t>700</w:t>
            </w:r>
          </w:p>
        </w:tc>
        <w:tc>
          <w:tcPr>
            <w:tcW w:w="992" w:type="dxa"/>
            <w:vAlign w:val="center"/>
          </w:tcPr>
          <w:p>
            <w:pPr>
              <w:suppressAutoHyphens w:val="0"/>
              <w:autoSpaceDN/>
              <w:jc w:val="center"/>
              <w:textAlignment w:val="auto"/>
            </w:pPr>
            <w:r>
              <w:t>7300</w:t>
            </w:r>
          </w:p>
        </w:tc>
        <w:tc>
          <w:tcPr>
            <w:tcW w:w="850" w:type="dxa"/>
            <w:vAlign w:val="center"/>
          </w:tcPr>
          <w:p>
            <w:pPr>
              <w:suppressAutoHyphens w:val="0"/>
              <w:autoSpaceDN/>
              <w:jc w:val="center"/>
              <w:textAlignment w:val="auto"/>
            </w:pPr>
          </w:p>
        </w:tc>
        <w:tc>
          <w:tcPr>
            <w:tcW w:w="851" w:type="dxa"/>
            <w:vAlign w:val="center"/>
          </w:tcPr>
          <w:p>
            <w:pPr>
              <w:suppressAutoHyphens w:val="0"/>
              <w:autoSpaceDN/>
              <w:jc w:val="center"/>
              <w:textAlignment w:val="auto"/>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67" w:type="dxa"/>
            <w:vAlign w:val="center"/>
          </w:tcPr>
          <w:p>
            <w:pPr>
              <w:suppressAutoHyphens w:val="0"/>
              <w:autoSpaceDN/>
              <w:ind w:right="-115"/>
              <w:jc w:val="center"/>
              <w:textAlignment w:val="auto"/>
            </w:pPr>
            <w:r>
              <w:t>2.</w:t>
            </w:r>
          </w:p>
        </w:tc>
        <w:tc>
          <w:tcPr>
            <w:tcW w:w="3267" w:type="dxa"/>
            <w:vAlign w:val="center"/>
          </w:tcPr>
          <w:p>
            <w:pPr>
              <w:suppressAutoHyphens w:val="0"/>
              <w:autoSpaceDN/>
              <w:jc w:val="both"/>
              <w:textAlignment w:val="auto"/>
            </w:pPr>
            <w:r>
              <w:t>Разработка проектно-сметной документации и устройство блочно-модульной котельной мощ-ностью 600 кВт для отопле-ния зданий МКОУ «Тормосиновская СОШ»</w:t>
            </w:r>
          </w:p>
        </w:tc>
        <w:tc>
          <w:tcPr>
            <w:tcW w:w="985" w:type="dxa"/>
            <w:vAlign w:val="center"/>
          </w:tcPr>
          <w:p>
            <w:pPr>
              <w:suppressAutoHyphens w:val="0"/>
              <w:autoSpaceDN/>
              <w:jc w:val="center"/>
              <w:textAlignment w:val="auto"/>
            </w:pPr>
            <w:r>
              <w:t>8000</w:t>
            </w:r>
          </w:p>
        </w:tc>
        <w:tc>
          <w:tcPr>
            <w:tcW w:w="1134" w:type="dxa"/>
            <w:vAlign w:val="center"/>
          </w:tcPr>
          <w:p>
            <w:pPr>
              <w:suppressAutoHyphens w:val="0"/>
              <w:autoSpaceDN/>
              <w:jc w:val="center"/>
              <w:textAlignment w:val="auto"/>
            </w:pPr>
            <w:r>
              <w:t>областной и местный бюджет</w:t>
            </w:r>
          </w:p>
        </w:tc>
        <w:tc>
          <w:tcPr>
            <w:tcW w:w="993" w:type="dxa"/>
            <w:vAlign w:val="center"/>
          </w:tcPr>
          <w:p>
            <w:pPr>
              <w:suppressAutoHyphens w:val="0"/>
              <w:autoSpaceDN/>
              <w:jc w:val="center"/>
              <w:textAlignment w:val="auto"/>
            </w:pPr>
          </w:p>
        </w:tc>
        <w:tc>
          <w:tcPr>
            <w:tcW w:w="992" w:type="dxa"/>
            <w:vAlign w:val="center"/>
          </w:tcPr>
          <w:p>
            <w:pPr>
              <w:suppressAutoHyphens w:val="0"/>
              <w:autoSpaceDN/>
              <w:jc w:val="center"/>
              <w:textAlignment w:val="auto"/>
            </w:pPr>
            <w:r>
              <w:t>8000</w:t>
            </w:r>
          </w:p>
        </w:tc>
        <w:tc>
          <w:tcPr>
            <w:tcW w:w="850" w:type="dxa"/>
            <w:vAlign w:val="center"/>
          </w:tcPr>
          <w:p>
            <w:pPr>
              <w:suppressAutoHyphens w:val="0"/>
              <w:autoSpaceDN/>
              <w:jc w:val="center"/>
              <w:textAlignment w:val="auto"/>
            </w:pPr>
          </w:p>
        </w:tc>
        <w:tc>
          <w:tcPr>
            <w:tcW w:w="851" w:type="dxa"/>
            <w:vAlign w:val="center"/>
          </w:tcPr>
          <w:p>
            <w:pPr>
              <w:suppressAutoHyphens w:val="0"/>
              <w:autoSpaceDN/>
              <w:jc w:val="center"/>
              <w:textAlignment w:val="auto"/>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67" w:type="dxa"/>
            <w:vAlign w:val="center"/>
          </w:tcPr>
          <w:p>
            <w:pPr>
              <w:suppressAutoHyphens w:val="0"/>
              <w:autoSpaceDN/>
              <w:ind w:right="-115"/>
              <w:jc w:val="center"/>
              <w:textAlignment w:val="auto"/>
            </w:pPr>
            <w:r>
              <w:t>3.</w:t>
            </w:r>
          </w:p>
        </w:tc>
        <w:tc>
          <w:tcPr>
            <w:tcW w:w="3267" w:type="dxa"/>
            <w:vAlign w:val="center"/>
          </w:tcPr>
          <w:p>
            <w:pPr>
              <w:suppressAutoHyphens w:val="0"/>
              <w:autoSpaceDN/>
              <w:jc w:val="both"/>
              <w:textAlignment w:val="auto"/>
            </w:pPr>
            <w:r>
              <w:t>Разработка проектно-сметной документации и устройство блочно-модульной котельной мощ-ностью 500 кВт для отопле-ния зданий ГОУ «Тормосиновская ШИ ДС и ДОБПР»</w:t>
            </w:r>
          </w:p>
        </w:tc>
        <w:tc>
          <w:tcPr>
            <w:tcW w:w="985" w:type="dxa"/>
            <w:vAlign w:val="center"/>
          </w:tcPr>
          <w:p>
            <w:pPr>
              <w:suppressAutoHyphens w:val="0"/>
              <w:autoSpaceDN/>
              <w:jc w:val="center"/>
              <w:textAlignment w:val="auto"/>
            </w:pPr>
            <w:r>
              <w:t>7000</w:t>
            </w:r>
          </w:p>
        </w:tc>
        <w:tc>
          <w:tcPr>
            <w:tcW w:w="1134" w:type="dxa"/>
            <w:vAlign w:val="center"/>
          </w:tcPr>
          <w:p>
            <w:pPr>
              <w:suppressAutoHyphens w:val="0"/>
              <w:autoSpaceDN/>
              <w:jc w:val="center"/>
              <w:textAlignment w:val="auto"/>
            </w:pPr>
            <w:r>
              <w:t>област-ной бюджет</w:t>
            </w:r>
          </w:p>
        </w:tc>
        <w:tc>
          <w:tcPr>
            <w:tcW w:w="993" w:type="dxa"/>
            <w:vAlign w:val="center"/>
          </w:tcPr>
          <w:p>
            <w:pPr>
              <w:suppressAutoHyphens w:val="0"/>
              <w:autoSpaceDN/>
              <w:jc w:val="center"/>
              <w:textAlignment w:val="auto"/>
            </w:pPr>
          </w:p>
        </w:tc>
        <w:tc>
          <w:tcPr>
            <w:tcW w:w="992" w:type="dxa"/>
            <w:vAlign w:val="center"/>
          </w:tcPr>
          <w:p>
            <w:pPr>
              <w:suppressAutoHyphens w:val="0"/>
              <w:autoSpaceDN/>
              <w:jc w:val="center"/>
              <w:textAlignment w:val="auto"/>
            </w:pPr>
            <w:r>
              <w:t>7000</w:t>
            </w:r>
          </w:p>
        </w:tc>
        <w:tc>
          <w:tcPr>
            <w:tcW w:w="850" w:type="dxa"/>
            <w:vAlign w:val="center"/>
          </w:tcPr>
          <w:p>
            <w:pPr>
              <w:suppressAutoHyphens w:val="0"/>
              <w:autoSpaceDN/>
              <w:jc w:val="center"/>
              <w:textAlignment w:val="auto"/>
            </w:pPr>
          </w:p>
        </w:tc>
        <w:tc>
          <w:tcPr>
            <w:tcW w:w="851" w:type="dxa"/>
            <w:vAlign w:val="center"/>
          </w:tcPr>
          <w:p>
            <w:pPr>
              <w:suppressAutoHyphens w:val="0"/>
              <w:autoSpaceDN/>
              <w:jc w:val="center"/>
              <w:textAlignment w:val="auto"/>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67" w:type="dxa"/>
            <w:vAlign w:val="center"/>
          </w:tcPr>
          <w:p>
            <w:pPr>
              <w:suppressAutoHyphens w:val="0"/>
              <w:autoSpaceDN/>
              <w:ind w:right="-115"/>
              <w:jc w:val="center"/>
              <w:textAlignment w:val="auto"/>
            </w:pPr>
            <w:r>
              <w:t>4.</w:t>
            </w:r>
          </w:p>
        </w:tc>
        <w:tc>
          <w:tcPr>
            <w:tcW w:w="3267" w:type="dxa"/>
            <w:vAlign w:val="center"/>
          </w:tcPr>
          <w:p>
            <w:pPr>
              <w:suppressAutoHyphens w:val="0"/>
              <w:autoSpaceDN/>
              <w:jc w:val="both"/>
              <w:textAlignment w:val="auto"/>
            </w:pPr>
            <w:r>
              <w:t>Разработка проектно-сметной документации и устройство котлов наружного размещения мощностью 500 кВт для отопления зданий МУК «Тормосиновский СДК» в х.Тормосин</w:t>
            </w:r>
          </w:p>
        </w:tc>
        <w:tc>
          <w:tcPr>
            <w:tcW w:w="985" w:type="dxa"/>
            <w:vAlign w:val="center"/>
          </w:tcPr>
          <w:p>
            <w:pPr>
              <w:suppressAutoHyphens w:val="0"/>
              <w:autoSpaceDN/>
              <w:jc w:val="center"/>
              <w:textAlignment w:val="auto"/>
            </w:pPr>
            <w:r>
              <w:t>4000</w:t>
            </w:r>
          </w:p>
        </w:tc>
        <w:tc>
          <w:tcPr>
            <w:tcW w:w="1134" w:type="dxa"/>
            <w:vAlign w:val="center"/>
          </w:tcPr>
          <w:p>
            <w:pPr>
              <w:suppressAutoHyphens w:val="0"/>
              <w:autoSpaceDN/>
              <w:jc w:val="center"/>
              <w:textAlignment w:val="auto"/>
            </w:pPr>
            <w:r>
              <w:t>област-ной и местный бюджет</w:t>
            </w:r>
          </w:p>
        </w:tc>
        <w:tc>
          <w:tcPr>
            <w:tcW w:w="993" w:type="dxa"/>
            <w:vAlign w:val="center"/>
          </w:tcPr>
          <w:p>
            <w:pPr>
              <w:suppressAutoHyphens w:val="0"/>
              <w:autoSpaceDN/>
              <w:jc w:val="center"/>
              <w:textAlignment w:val="auto"/>
            </w:pPr>
          </w:p>
        </w:tc>
        <w:tc>
          <w:tcPr>
            <w:tcW w:w="992" w:type="dxa"/>
            <w:vAlign w:val="center"/>
          </w:tcPr>
          <w:p>
            <w:pPr>
              <w:suppressAutoHyphens w:val="0"/>
              <w:autoSpaceDN/>
              <w:jc w:val="center"/>
              <w:textAlignment w:val="auto"/>
            </w:pPr>
            <w:r>
              <w:t>4000</w:t>
            </w:r>
          </w:p>
        </w:tc>
        <w:tc>
          <w:tcPr>
            <w:tcW w:w="850" w:type="dxa"/>
            <w:vAlign w:val="center"/>
          </w:tcPr>
          <w:p>
            <w:pPr>
              <w:suppressAutoHyphens w:val="0"/>
              <w:autoSpaceDN/>
              <w:jc w:val="center"/>
              <w:textAlignment w:val="auto"/>
            </w:pPr>
          </w:p>
        </w:tc>
        <w:tc>
          <w:tcPr>
            <w:tcW w:w="851" w:type="dxa"/>
            <w:vAlign w:val="center"/>
          </w:tcPr>
          <w:p>
            <w:pPr>
              <w:suppressAutoHyphens w:val="0"/>
              <w:autoSpaceDN/>
              <w:jc w:val="center"/>
              <w:textAlignment w:val="auto"/>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67" w:type="dxa"/>
            <w:vAlign w:val="center"/>
          </w:tcPr>
          <w:p>
            <w:pPr>
              <w:suppressAutoHyphens w:val="0"/>
              <w:autoSpaceDN/>
              <w:ind w:right="-115"/>
              <w:jc w:val="center"/>
              <w:textAlignment w:val="auto"/>
            </w:pPr>
            <w:r>
              <w:t>5.</w:t>
            </w:r>
          </w:p>
        </w:tc>
        <w:tc>
          <w:tcPr>
            <w:tcW w:w="3267" w:type="dxa"/>
            <w:vAlign w:val="center"/>
          </w:tcPr>
          <w:p>
            <w:pPr>
              <w:suppressAutoHyphens w:val="0"/>
              <w:autoSpaceDN/>
              <w:jc w:val="both"/>
              <w:textAlignment w:val="auto"/>
            </w:pPr>
            <w:r>
              <w:t>Разработка проектно-сметной документации и установка котлов наружного размещения с установленной мощностью 100 кВт для отопления здания  МКОУ «Тормосиновская СОШ» в х. Морской</w:t>
            </w:r>
          </w:p>
        </w:tc>
        <w:tc>
          <w:tcPr>
            <w:tcW w:w="985" w:type="dxa"/>
            <w:vAlign w:val="center"/>
          </w:tcPr>
          <w:p>
            <w:pPr>
              <w:suppressAutoHyphens w:val="0"/>
              <w:autoSpaceDN/>
              <w:jc w:val="center"/>
              <w:textAlignment w:val="auto"/>
            </w:pPr>
            <w:r>
              <w:t>2000</w:t>
            </w:r>
          </w:p>
        </w:tc>
        <w:tc>
          <w:tcPr>
            <w:tcW w:w="1134" w:type="dxa"/>
            <w:vAlign w:val="center"/>
          </w:tcPr>
          <w:p>
            <w:pPr>
              <w:suppressAutoHyphens w:val="0"/>
              <w:autoSpaceDN/>
              <w:jc w:val="center"/>
              <w:textAlignment w:val="auto"/>
            </w:pPr>
            <w:r>
              <w:t>област-ной и местный бюджет</w:t>
            </w:r>
          </w:p>
        </w:tc>
        <w:tc>
          <w:tcPr>
            <w:tcW w:w="993" w:type="dxa"/>
            <w:vAlign w:val="center"/>
          </w:tcPr>
          <w:p>
            <w:pPr>
              <w:suppressAutoHyphens w:val="0"/>
              <w:autoSpaceDN/>
              <w:jc w:val="center"/>
              <w:textAlignment w:val="auto"/>
            </w:pPr>
          </w:p>
        </w:tc>
        <w:tc>
          <w:tcPr>
            <w:tcW w:w="992" w:type="dxa"/>
            <w:vAlign w:val="center"/>
          </w:tcPr>
          <w:p>
            <w:pPr>
              <w:suppressAutoHyphens w:val="0"/>
              <w:autoSpaceDN/>
              <w:jc w:val="center"/>
              <w:textAlignment w:val="auto"/>
            </w:pPr>
            <w:r>
              <w:t>2000</w:t>
            </w:r>
          </w:p>
        </w:tc>
        <w:tc>
          <w:tcPr>
            <w:tcW w:w="850" w:type="dxa"/>
            <w:vAlign w:val="center"/>
          </w:tcPr>
          <w:p>
            <w:pPr>
              <w:suppressAutoHyphens w:val="0"/>
              <w:autoSpaceDN/>
              <w:jc w:val="center"/>
              <w:textAlignment w:val="auto"/>
            </w:pPr>
          </w:p>
        </w:tc>
        <w:tc>
          <w:tcPr>
            <w:tcW w:w="851" w:type="dxa"/>
            <w:vAlign w:val="center"/>
          </w:tcPr>
          <w:p>
            <w:pPr>
              <w:suppressAutoHyphens w:val="0"/>
              <w:autoSpaceDN/>
              <w:jc w:val="center"/>
              <w:textAlignment w:val="auto"/>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67" w:type="dxa"/>
            <w:vAlign w:val="center"/>
          </w:tcPr>
          <w:p>
            <w:pPr>
              <w:suppressAutoHyphens w:val="0"/>
              <w:autoSpaceDN/>
              <w:ind w:right="-115"/>
              <w:jc w:val="center"/>
              <w:textAlignment w:val="auto"/>
            </w:pPr>
            <w:r>
              <w:t>6.</w:t>
            </w:r>
          </w:p>
        </w:tc>
        <w:tc>
          <w:tcPr>
            <w:tcW w:w="3267" w:type="dxa"/>
            <w:vAlign w:val="center"/>
          </w:tcPr>
          <w:p>
            <w:pPr>
              <w:suppressAutoHyphens w:val="0"/>
              <w:autoSpaceDN/>
              <w:jc w:val="both"/>
              <w:textAlignment w:val="auto"/>
            </w:pPr>
            <w:r>
              <w:t>Разработка проектно-сметной документации и установка котлов наружного размещения с установленной мощностью 200 кВт для отопления здания  МУК «Тормосиновский СДК» в х. Морской</w:t>
            </w:r>
          </w:p>
        </w:tc>
        <w:tc>
          <w:tcPr>
            <w:tcW w:w="985" w:type="dxa"/>
            <w:vAlign w:val="center"/>
          </w:tcPr>
          <w:p>
            <w:pPr>
              <w:suppressAutoHyphens w:val="0"/>
              <w:autoSpaceDN/>
              <w:jc w:val="center"/>
              <w:textAlignment w:val="auto"/>
            </w:pPr>
            <w:r>
              <w:t>2500</w:t>
            </w:r>
          </w:p>
        </w:tc>
        <w:tc>
          <w:tcPr>
            <w:tcW w:w="1134" w:type="dxa"/>
            <w:vAlign w:val="center"/>
          </w:tcPr>
          <w:p>
            <w:pPr>
              <w:suppressAutoHyphens w:val="0"/>
              <w:autoSpaceDN/>
              <w:jc w:val="center"/>
              <w:textAlignment w:val="auto"/>
            </w:pPr>
            <w:r>
              <w:t>област-ной и местный бюджет</w:t>
            </w:r>
          </w:p>
        </w:tc>
        <w:tc>
          <w:tcPr>
            <w:tcW w:w="993" w:type="dxa"/>
            <w:vAlign w:val="center"/>
          </w:tcPr>
          <w:p>
            <w:pPr>
              <w:suppressAutoHyphens w:val="0"/>
              <w:autoSpaceDN/>
              <w:jc w:val="center"/>
              <w:textAlignment w:val="auto"/>
            </w:pPr>
          </w:p>
        </w:tc>
        <w:tc>
          <w:tcPr>
            <w:tcW w:w="992" w:type="dxa"/>
            <w:vAlign w:val="center"/>
          </w:tcPr>
          <w:p>
            <w:pPr>
              <w:suppressAutoHyphens w:val="0"/>
              <w:autoSpaceDN/>
              <w:jc w:val="center"/>
              <w:textAlignment w:val="auto"/>
            </w:pPr>
            <w:r>
              <w:t>2500</w:t>
            </w:r>
          </w:p>
        </w:tc>
        <w:tc>
          <w:tcPr>
            <w:tcW w:w="850" w:type="dxa"/>
            <w:vAlign w:val="center"/>
          </w:tcPr>
          <w:p>
            <w:pPr>
              <w:suppressAutoHyphens w:val="0"/>
              <w:autoSpaceDN/>
              <w:jc w:val="center"/>
              <w:textAlignment w:val="auto"/>
            </w:pPr>
          </w:p>
        </w:tc>
        <w:tc>
          <w:tcPr>
            <w:tcW w:w="851" w:type="dxa"/>
            <w:vAlign w:val="center"/>
          </w:tcPr>
          <w:p>
            <w:pPr>
              <w:suppressAutoHyphens w:val="0"/>
              <w:autoSpaceDN/>
              <w:jc w:val="center"/>
              <w:textAlignment w:val="auto"/>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67" w:type="dxa"/>
            <w:vAlign w:val="center"/>
          </w:tcPr>
          <w:p>
            <w:pPr>
              <w:suppressAutoHyphens w:val="0"/>
              <w:autoSpaceDN/>
              <w:ind w:right="-115"/>
              <w:jc w:val="center"/>
              <w:textAlignment w:val="auto"/>
            </w:pPr>
          </w:p>
        </w:tc>
        <w:tc>
          <w:tcPr>
            <w:tcW w:w="3267" w:type="dxa"/>
            <w:vAlign w:val="center"/>
          </w:tcPr>
          <w:p>
            <w:pPr>
              <w:suppressAutoHyphens w:val="0"/>
              <w:autoSpaceDN/>
              <w:jc w:val="both"/>
              <w:textAlignment w:val="auto"/>
            </w:pPr>
            <w:r>
              <w:t>ИТОГО</w:t>
            </w:r>
          </w:p>
        </w:tc>
        <w:tc>
          <w:tcPr>
            <w:tcW w:w="985" w:type="dxa"/>
            <w:vAlign w:val="center"/>
          </w:tcPr>
          <w:p>
            <w:pPr>
              <w:suppressAutoHyphens w:val="0"/>
              <w:autoSpaceDN/>
              <w:jc w:val="center"/>
              <w:textAlignment w:val="auto"/>
            </w:pPr>
            <w:r>
              <w:t>31500</w:t>
            </w:r>
          </w:p>
        </w:tc>
        <w:tc>
          <w:tcPr>
            <w:tcW w:w="1134" w:type="dxa"/>
            <w:vAlign w:val="center"/>
          </w:tcPr>
          <w:p>
            <w:pPr>
              <w:suppressAutoHyphens w:val="0"/>
              <w:autoSpaceDN/>
              <w:jc w:val="center"/>
              <w:textAlignment w:val="auto"/>
            </w:pPr>
          </w:p>
        </w:tc>
        <w:tc>
          <w:tcPr>
            <w:tcW w:w="993" w:type="dxa"/>
            <w:vAlign w:val="center"/>
          </w:tcPr>
          <w:p>
            <w:pPr>
              <w:suppressAutoHyphens w:val="0"/>
              <w:autoSpaceDN/>
              <w:jc w:val="center"/>
              <w:textAlignment w:val="auto"/>
            </w:pPr>
            <w:r>
              <w:t>700</w:t>
            </w:r>
          </w:p>
        </w:tc>
        <w:tc>
          <w:tcPr>
            <w:tcW w:w="992" w:type="dxa"/>
            <w:vAlign w:val="center"/>
          </w:tcPr>
          <w:p>
            <w:pPr>
              <w:suppressAutoHyphens w:val="0"/>
              <w:autoSpaceDN/>
              <w:jc w:val="center"/>
              <w:textAlignment w:val="auto"/>
            </w:pPr>
            <w:r>
              <w:t>30800</w:t>
            </w:r>
          </w:p>
        </w:tc>
        <w:tc>
          <w:tcPr>
            <w:tcW w:w="850" w:type="dxa"/>
            <w:vAlign w:val="center"/>
          </w:tcPr>
          <w:p>
            <w:pPr>
              <w:suppressAutoHyphens w:val="0"/>
              <w:autoSpaceDN/>
              <w:jc w:val="center"/>
              <w:textAlignment w:val="auto"/>
            </w:pPr>
          </w:p>
        </w:tc>
        <w:tc>
          <w:tcPr>
            <w:tcW w:w="851" w:type="dxa"/>
            <w:vAlign w:val="center"/>
          </w:tcPr>
          <w:p>
            <w:pPr>
              <w:suppressAutoHyphens w:val="0"/>
              <w:autoSpaceDN/>
              <w:jc w:val="center"/>
              <w:textAlignment w:val="auto"/>
            </w:pPr>
          </w:p>
        </w:tc>
      </w:tr>
    </w:tbl>
    <w:p>
      <w:pPr>
        <w:suppressAutoHyphens w:val="0"/>
        <w:autoSpaceDE w:val="0"/>
        <w:adjustRightInd w:val="0"/>
        <w:jc w:val="both"/>
        <w:textAlignment w:val="auto"/>
        <w:rPr>
          <w:b/>
          <w:bCs/>
          <w:iCs/>
        </w:rPr>
      </w:pPr>
    </w:p>
    <w:p>
      <w:pPr>
        <w:suppressAutoHyphens w:val="0"/>
        <w:autoSpaceDE w:val="0"/>
        <w:adjustRightInd w:val="0"/>
        <w:jc w:val="both"/>
        <w:textAlignment w:val="auto"/>
        <w:rPr>
          <w:bCs/>
          <w:iCs/>
          <w:sz w:val="28"/>
          <w:szCs w:val="28"/>
        </w:rPr>
      </w:pPr>
    </w:p>
    <w:p>
      <w:pPr>
        <w:suppressAutoHyphens w:val="0"/>
        <w:autoSpaceDE w:val="0"/>
        <w:adjustRightInd w:val="0"/>
        <w:jc w:val="center"/>
        <w:textAlignment w:val="auto"/>
        <w:rPr>
          <w:b/>
          <w:bCs/>
          <w:iCs/>
          <w:sz w:val="28"/>
          <w:szCs w:val="28"/>
        </w:rPr>
      </w:pPr>
    </w:p>
    <w:p>
      <w:pPr>
        <w:suppressAutoHyphens w:val="0"/>
        <w:autoSpaceDE w:val="0"/>
        <w:adjustRightInd w:val="0"/>
        <w:jc w:val="center"/>
        <w:textAlignment w:val="auto"/>
        <w:rPr>
          <w:b/>
          <w:bCs/>
          <w:iCs/>
          <w:sz w:val="28"/>
          <w:szCs w:val="28"/>
        </w:rPr>
      </w:pPr>
    </w:p>
    <w:p>
      <w:pPr>
        <w:suppressAutoHyphens w:val="0"/>
        <w:autoSpaceDE w:val="0"/>
        <w:adjustRightInd w:val="0"/>
        <w:jc w:val="center"/>
        <w:textAlignment w:val="auto"/>
        <w:rPr>
          <w:b/>
          <w:bCs/>
          <w:iCs/>
          <w:sz w:val="28"/>
          <w:szCs w:val="28"/>
        </w:rPr>
      </w:pPr>
      <w:r>
        <w:rPr>
          <w:b/>
          <w:bCs/>
          <w:iCs/>
          <w:sz w:val="28"/>
          <w:szCs w:val="28"/>
        </w:rPr>
        <w:t xml:space="preserve">Раздел 8.Решение об определении единой теплоснабжающей </w:t>
      </w:r>
    </w:p>
    <w:p>
      <w:pPr>
        <w:suppressAutoHyphens w:val="0"/>
        <w:autoSpaceDE w:val="0"/>
        <w:adjustRightInd w:val="0"/>
        <w:jc w:val="center"/>
        <w:textAlignment w:val="auto"/>
        <w:rPr>
          <w:b/>
          <w:bCs/>
          <w:iCs/>
          <w:sz w:val="28"/>
          <w:szCs w:val="28"/>
        </w:rPr>
      </w:pPr>
      <w:r>
        <w:rPr>
          <w:b/>
          <w:bCs/>
          <w:iCs/>
          <w:sz w:val="28"/>
          <w:szCs w:val="28"/>
        </w:rPr>
        <w:t>организации(организаций).</w:t>
      </w:r>
    </w:p>
    <w:p>
      <w:pPr>
        <w:suppressAutoHyphens w:val="0"/>
        <w:autoSpaceDE w:val="0"/>
        <w:adjustRightInd w:val="0"/>
        <w:jc w:val="both"/>
        <w:textAlignment w:val="auto"/>
        <w:rPr>
          <w:bCs/>
          <w:iCs/>
          <w:sz w:val="28"/>
          <w:szCs w:val="28"/>
        </w:rPr>
      </w:pPr>
      <w:r>
        <w:rPr>
          <w:bCs/>
          <w:iCs/>
          <w:sz w:val="28"/>
          <w:szCs w:val="28"/>
        </w:rPr>
        <w:t xml:space="preserve">     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утвержденных Правительством Российской Федерации Постановлением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w:t>
      </w:r>
      <w:r>
        <w:rPr>
          <w:sz w:val="28"/>
          <w:szCs w:val="28"/>
        </w:rPr>
        <w:t xml:space="preserve"> </w:t>
      </w:r>
    </w:p>
    <w:p>
      <w:pPr>
        <w:suppressAutoHyphens w:val="0"/>
        <w:autoSpaceDE w:val="0"/>
        <w:adjustRightInd w:val="0"/>
        <w:jc w:val="both"/>
        <w:textAlignment w:val="auto"/>
        <w:rPr>
          <w:bCs/>
          <w:iCs/>
          <w:sz w:val="28"/>
          <w:szCs w:val="28"/>
        </w:rPr>
      </w:pPr>
      <w:r>
        <w:rPr>
          <w:bCs/>
          <w:iCs/>
          <w:sz w:val="28"/>
          <w:szCs w:val="28"/>
        </w:rPr>
        <w:t xml:space="preserve">  Эксплуатацию единственной  централизованной котельной №2 в х.Тормосин осуществляет МБУ «УЖКХ Чернышковского района».</w:t>
      </w:r>
      <w:r>
        <w:rPr>
          <w:sz w:val="28"/>
          <w:szCs w:val="28"/>
        </w:rPr>
        <w:t xml:space="preserve"> Данное учреждение</w:t>
      </w:r>
      <w:r>
        <w:rPr>
          <w:bCs/>
          <w:iCs/>
          <w:sz w:val="28"/>
          <w:szCs w:val="28"/>
        </w:rPr>
        <w:t xml:space="preserve"> отвечает всем требованиям критериев по определению единой теплоснабжающей организации. Таким образом, на основании критериев определения единой теплоснабжающей организации, предлагается определить единой теплоснабжающей организацией в х.Тормосин (от котельной №2) МБУ «УЖКХ Чернышковского района». </w:t>
      </w:r>
    </w:p>
    <w:p>
      <w:pPr>
        <w:suppressAutoHyphens w:val="0"/>
        <w:autoSpaceDE w:val="0"/>
        <w:adjustRightInd w:val="0"/>
        <w:jc w:val="both"/>
        <w:textAlignment w:val="auto"/>
        <w:rPr>
          <w:bCs/>
          <w:iCs/>
          <w:sz w:val="28"/>
          <w:szCs w:val="28"/>
        </w:rPr>
      </w:pPr>
      <w:r>
        <w:rPr>
          <w:bCs/>
          <w:iCs/>
          <w:sz w:val="28"/>
          <w:szCs w:val="28"/>
        </w:rPr>
        <w:t>Единая теплоснабжающая организация при осуществлении своей деятельности обязана:</w:t>
      </w:r>
    </w:p>
    <w:p>
      <w:pPr>
        <w:suppressAutoHyphens w:val="0"/>
        <w:autoSpaceDE w:val="0"/>
        <w:adjustRightInd w:val="0"/>
        <w:ind w:left="426"/>
        <w:jc w:val="both"/>
        <w:textAlignment w:val="auto"/>
        <w:rPr>
          <w:bCs/>
          <w:iCs/>
          <w:sz w:val="28"/>
          <w:szCs w:val="28"/>
        </w:rPr>
      </w:pPr>
      <w:r>
        <w:rPr>
          <w:bCs/>
          <w:iCs/>
          <w:sz w:val="28"/>
          <w:szCs w:val="28"/>
        </w:rPr>
        <w:t xml:space="preserve"> а) Заключать и надлежаще исполнять договоры теплоснабжения со всеми обратившимися к ней потребителями тепловой энергии в своей зоне деятельности; </w:t>
      </w:r>
    </w:p>
    <w:p>
      <w:pPr>
        <w:suppressAutoHyphens w:val="0"/>
        <w:autoSpaceDE w:val="0"/>
        <w:adjustRightInd w:val="0"/>
        <w:ind w:left="426"/>
        <w:jc w:val="both"/>
        <w:textAlignment w:val="auto"/>
        <w:rPr>
          <w:bCs/>
          <w:iCs/>
          <w:sz w:val="28"/>
          <w:szCs w:val="28"/>
        </w:rPr>
      </w:pPr>
      <w:r>
        <w:rPr>
          <w:bCs/>
          <w:iCs/>
          <w:sz w:val="28"/>
          <w:szCs w:val="28"/>
        </w:rPr>
        <w:t xml:space="preserve">б)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 </w:t>
      </w:r>
    </w:p>
    <w:p>
      <w:pPr>
        <w:suppressAutoHyphens w:val="0"/>
        <w:autoSpaceDE w:val="0"/>
        <w:adjustRightInd w:val="0"/>
        <w:ind w:left="426"/>
        <w:jc w:val="both"/>
        <w:textAlignment w:val="auto"/>
        <w:rPr>
          <w:bCs/>
          <w:iCs/>
          <w:sz w:val="28"/>
          <w:szCs w:val="28"/>
        </w:rPr>
      </w:pPr>
      <w:r>
        <w:rPr>
          <w:bCs/>
          <w:iCs/>
          <w:sz w:val="28"/>
          <w:szCs w:val="28"/>
        </w:rPr>
        <w:t>в) Осуществлять контроль режимов потребления тепловой энергии в зоне своей деятельности.</w:t>
      </w:r>
    </w:p>
    <w:p>
      <w:pPr>
        <w:suppressAutoHyphens w:val="0"/>
        <w:autoSpaceDE w:val="0"/>
        <w:adjustRightInd w:val="0"/>
        <w:jc w:val="both"/>
        <w:textAlignment w:val="auto"/>
        <w:rPr>
          <w:bCs/>
          <w:iCs/>
          <w:sz w:val="28"/>
          <w:szCs w:val="28"/>
        </w:rPr>
      </w:pPr>
      <w:r>
        <w:rPr>
          <w:bCs/>
          <w:iCs/>
          <w:sz w:val="28"/>
          <w:szCs w:val="28"/>
        </w:rPr>
        <w:t xml:space="preserve">    Зона деятельности единой теплоснабжающей организации МБУ «УЖКХ Чернышковского района» охватывает небольшую часть территории Тормосиновского сельского поселения  Чернышковского муниципального  района, на которой находятся потребители, получающие тепловую энергию от котельной №2 х.Тормосин.</w:t>
      </w:r>
    </w:p>
    <w:p>
      <w:pPr>
        <w:suppressAutoHyphens w:val="0"/>
        <w:autoSpaceDE w:val="0"/>
        <w:adjustRightInd w:val="0"/>
        <w:jc w:val="both"/>
        <w:textAlignment w:val="auto"/>
        <w:rPr>
          <w:b/>
          <w:bCs/>
          <w:iCs/>
          <w:sz w:val="28"/>
          <w:szCs w:val="28"/>
        </w:rPr>
      </w:pPr>
    </w:p>
    <w:p>
      <w:pPr>
        <w:suppressAutoHyphens w:val="0"/>
        <w:autoSpaceDE w:val="0"/>
        <w:adjustRightInd w:val="0"/>
        <w:jc w:val="center"/>
        <w:textAlignment w:val="auto"/>
        <w:rPr>
          <w:b/>
          <w:bCs/>
          <w:iCs/>
          <w:sz w:val="28"/>
          <w:szCs w:val="28"/>
        </w:rPr>
      </w:pPr>
      <w:r>
        <w:rPr>
          <w:b/>
          <w:bCs/>
          <w:iCs/>
          <w:sz w:val="28"/>
          <w:szCs w:val="28"/>
        </w:rPr>
        <w:t>Раздел 9. Решения о распределении тепловой нагрузки между источниками тепловой энергии.</w:t>
      </w:r>
    </w:p>
    <w:p>
      <w:pPr>
        <w:suppressAutoHyphens w:val="0"/>
        <w:autoSpaceDE w:val="0"/>
        <w:adjustRightInd w:val="0"/>
        <w:jc w:val="both"/>
        <w:textAlignment w:val="auto"/>
        <w:rPr>
          <w:bCs/>
          <w:iCs/>
          <w:sz w:val="28"/>
          <w:szCs w:val="28"/>
        </w:rPr>
      </w:pPr>
    </w:p>
    <w:p>
      <w:pPr>
        <w:suppressAutoHyphens w:val="0"/>
        <w:autoSpaceDE w:val="0"/>
        <w:adjustRightInd w:val="0"/>
        <w:jc w:val="both"/>
        <w:textAlignment w:val="auto"/>
        <w:rPr>
          <w:bCs/>
          <w:iCs/>
          <w:sz w:val="28"/>
          <w:szCs w:val="28"/>
        </w:rPr>
      </w:pPr>
      <w:r>
        <w:rPr>
          <w:bCs/>
          <w:iCs/>
          <w:sz w:val="28"/>
          <w:szCs w:val="28"/>
        </w:rPr>
        <w:t>Распределение тепловой нагрузки между источниками тепловой энергии, обеспечивающее перераспределение тепловой нагрузки из зон с дефицитом в зоны с избытком установленной тепловой мощности источников тепловой энергии не предусматривается.</w:t>
      </w:r>
    </w:p>
    <w:p>
      <w:pPr>
        <w:suppressAutoHyphens w:val="0"/>
        <w:autoSpaceDE w:val="0"/>
        <w:adjustRightInd w:val="0"/>
        <w:jc w:val="both"/>
        <w:textAlignment w:val="auto"/>
        <w:rPr>
          <w:b/>
          <w:bCs/>
          <w:iCs/>
          <w:sz w:val="28"/>
          <w:szCs w:val="28"/>
        </w:rPr>
      </w:pPr>
    </w:p>
    <w:p>
      <w:pPr>
        <w:suppressAutoHyphens w:val="0"/>
        <w:autoSpaceDE w:val="0"/>
        <w:adjustRightInd w:val="0"/>
        <w:jc w:val="center"/>
        <w:textAlignment w:val="auto"/>
        <w:rPr>
          <w:b/>
          <w:bCs/>
          <w:iCs/>
          <w:sz w:val="28"/>
          <w:szCs w:val="28"/>
        </w:rPr>
      </w:pPr>
      <w:r>
        <w:rPr>
          <w:b/>
          <w:bCs/>
          <w:iCs/>
          <w:sz w:val="28"/>
          <w:szCs w:val="28"/>
        </w:rPr>
        <w:t>Раздел 10. Решения по бесхозяйным тепловым сетям.</w:t>
      </w:r>
    </w:p>
    <w:p>
      <w:pPr>
        <w:suppressAutoHyphens w:val="0"/>
        <w:autoSpaceDE w:val="0"/>
        <w:adjustRightInd w:val="0"/>
        <w:jc w:val="center"/>
        <w:textAlignment w:val="auto"/>
        <w:rPr>
          <w:b/>
          <w:bCs/>
          <w:iCs/>
          <w:sz w:val="28"/>
          <w:szCs w:val="28"/>
        </w:rPr>
      </w:pPr>
    </w:p>
    <w:p>
      <w:pPr>
        <w:pStyle w:val="30"/>
        <w:rPr>
          <w:bCs/>
          <w:sz w:val="28"/>
          <w:szCs w:val="28"/>
        </w:rPr>
      </w:pPr>
      <w:r>
        <w:rPr>
          <w:bCs/>
          <w:sz w:val="28"/>
          <w:szCs w:val="28"/>
        </w:rPr>
        <w:t xml:space="preserve">     Бесхозяйных сетей на территории Тормосиновского сельского поселения  не установлено.</w:t>
      </w:r>
    </w:p>
    <w:p>
      <w:pPr>
        <w:pStyle w:val="30"/>
        <w:jc w:val="both"/>
        <w:rPr>
          <w:bCs/>
          <w:sz w:val="28"/>
          <w:szCs w:val="28"/>
        </w:rPr>
      </w:pPr>
      <w:r>
        <w:rPr>
          <w:bCs/>
          <w:sz w:val="28"/>
          <w:szCs w:val="28"/>
        </w:rPr>
        <w:t xml:space="preserve">     В случае выявления бесхозяйных тепловых сетей (тепловых сетей, не имеющих эксплуатирующей организации) орган местного самоуправления поселения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 На момент разработки настоящей схемы теплоснабжения не выявлено участков бесхозяйных тепловых сетей.</w:t>
      </w:r>
    </w:p>
    <w:p>
      <w:pPr>
        <w:tabs>
          <w:tab w:val="left" w:pos="5610"/>
        </w:tabs>
        <w:rPr>
          <w:sz w:val="28"/>
          <w:szCs w:val="28"/>
          <w:lang w:eastAsia="en-US"/>
        </w:rPr>
      </w:pPr>
    </w:p>
    <w:p>
      <w:pPr>
        <w:tabs>
          <w:tab w:val="left" w:pos="5610"/>
        </w:tabs>
        <w:rPr>
          <w:sz w:val="28"/>
          <w:szCs w:val="28"/>
          <w:lang w:eastAsia="en-US"/>
        </w:rPr>
      </w:pPr>
    </w:p>
    <w:sectPr>
      <w:headerReference r:id="rId3" w:type="default"/>
      <w:footerReference r:id="rId4" w:type="default"/>
      <w:pgSz w:w="11906" w:h="16838"/>
      <w:pgMar w:top="709" w:right="991" w:bottom="993" w:left="1276" w:header="708" w:footer="708" w:gutter="0"/>
      <w:cols w:space="720" w:num="1"/>
      <w:titlePg/>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altName w:val="WenQuanYi Micro Hei"/>
    <w:panose1 w:val="00000000000000000000"/>
    <w:charset w:val="86"/>
    <w:family w:val="auto"/>
    <w:pitch w:val="default"/>
    <w:sig w:usb0="00000000" w:usb1="00000000" w:usb2="00000000" w:usb3="00000000" w:csb0="00000000" w:csb1="00000000"/>
  </w:font>
  <w:font w:name="Wingdings">
    <w:altName w:val="aakar"/>
    <w:panose1 w:val="05000000000000000000"/>
    <w:charset w:val="00"/>
    <w:family w:val="auto"/>
    <w:pitch w:val="default"/>
    <w:sig w:usb0="00000000" w:usb1="00000000" w:usb2="00000000" w:usb3="00000000" w:csb0="80000000" w:csb1="00000000"/>
  </w:font>
  <w:font w:name="Arial">
    <w:altName w:val="Times New Roman"/>
    <w:panose1 w:val="020B0604020202020204"/>
    <w:charset w:val="00"/>
    <w:family w:val="swiss"/>
    <w:pitch w:val="default"/>
    <w:sig w:usb0="E0002EFF" w:usb1="C0007843" w:usb2="00000009" w:usb3="00000000" w:csb0="400001FF" w:csb1="FFFF0000"/>
  </w:font>
  <w:font w:name="Courier New">
    <w:altName w:val="DejaVu Sans"/>
    <w:panose1 w:val="02070309020205020404"/>
    <w:charset w:val="00"/>
    <w:family w:val="modern"/>
    <w:pitch w:val="default"/>
    <w:sig w:usb0="E0002EFF" w:usb1="C0007843" w:usb2="00000009" w:usb3="00000000" w:csb0="400001FF" w:csb1="FFFF0000"/>
  </w:font>
  <w:font w:name="黑体">
    <w:altName w:val="WenQuanYi Micro Hei"/>
    <w:panose1 w:val="02010609060101010101"/>
    <w:charset w:val="00"/>
    <w:family w:val="modern"/>
    <w:pitch w:val="default"/>
    <w:sig w:usb0="800002BF" w:usb1="38CF7CFA" w:usb2="00000016" w:usb3="00000000" w:csb0="00040001" w:csb1="00000000"/>
  </w:font>
  <w:font w:name="Cambria">
    <w:altName w:val="Noto Sans Syriac Eastern"/>
    <w:panose1 w:val="02040503050406030204"/>
    <w:charset w:val="00"/>
    <w:family w:val="modern"/>
    <w:pitch w:val="default"/>
    <w:sig w:usb0="00000000" w:usb1="00000000" w:usb2="00000000" w:usb3="00000000" w:csb0="0000019F" w:csb1="00000000"/>
  </w:font>
  <w:font w:name="Calibri">
    <w:panose1 w:val="020F0502020204030204"/>
    <w:charset w:val="86"/>
    <w:family w:val="decorative"/>
    <w:pitch w:val="default"/>
    <w:sig w:usb0="E00002FF" w:usb1="4000ACFF" w:usb2="00000001" w:usb3="00000000" w:csb0="2000019F" w:csb1="00000000"/>
  </w:font>
  <w:font w:name="SimSun">
    <w:altName w:val="WenQuanYi Micro Hei"/>
    <w:panose1 w:val="00000000000000000000"/>
    <w:charset w:val="86"/>
    <w:family w:val="auto"/>
    <w:pitch w:val="default"/>
    <w:sig w:usb0="00000000" w:usb1="00000000" w:usb2="00000000" w:usb3="00000000" w:csb0="00000000" w:csb1="00000000"/>
  </w:font>
  <w:font w:name="Tahoma">
    <w:altName w:val="Verdana"/>
    <w:panose1 w:val="020B0604030504040204"/>
    <w:charset w:val="00"/>
    <w:family w:val="decorative"/>
    <w:pitch w:val="default"/>
    <w:sig w:usb0="00000000" w:usb1="00000000" w:usb2="00000000" w:usb3="00000000" w:csb0="00000001" w:csb1="00000000"/>
  </w:font>
  <w:font w:name="Candara">
    <w:altName w:val="Calibri"/>
    <w:panose1 w:val="020E0502030303020204"/>
    <w:charset w:val="CC"/>
    <w:family w:val="decorative"/>
    <w:pitch w:val="default"/>
    <w:sig w:usb0="00000000" w:usb1="00000000" w:usb2="00000000" w:usb3="00000000" w:csb0="0000019F" w:csb1="00000000"/>
  </w:font>
  <w:font w:name="Consolas">
    <w:altName w:val="Liberation Sans Narrow"/>
    <w:panose1 w:val="020B0609020204030204"/>
    <w:charset w:val="CC"/>
    <w:family w:val="swiss"/>
    <w:pitch w:val="default"/>
    <w:sig w:usb0="00000000" w:usb1="00000000" w:usb2="00000009" w:usb3="00000000" w:csb0="0000019F" w:csb1="00000000"/>
  </w:font>
  <w:font w:name="Arial Unicode MS">
    <w:altName w:val="Times New Roman"/>
    <w:panose1 w:val="020B0604020202020204"/>
    <w:charset w:val="80"/>
    <w:family w:val="decorative"/>
    <w:pitch w:val="default"/>
    <w:sig w:usb0="00000000" w:usb1="00000000" w:usb2="0000003F" w:usb3="00000000" w:csb0="003F01FF" w:csb1="00000000"/>
  </w:font>
  <w:font w:name="ISOCPEUR">
    <w:altName w:val="Gubbi"/>
    <w:panose1 w:val="00000000000000000000"/>
    <w:charset w:val="CC"/>
    <w:family w:val="decorative"/>
    <w:pitch w:val="default"/>
    <w:sig w:usb0="00000000" w:usb1="00000000" w:usb2="00000000" w:usb3="00000000" w:csb0="0000009F" w:csb1="00000000"/>
  </w:font>
  <w:font w:name="Noto Sans Syriac Eastern">
    <w:panose1 w:val="02040503050306020203"/>
    <w:charset w:val="86"/>
    <w:family w:val="auto"/>
    <w:pitch w:val="default"/>
    <w:sig w:usb0="00000000" w:usb1="00000000" w:usb2="00000080" w:usb3="00000000" w:csb0="203E0161" w:csb1="D7FF0000"/>
  </w:font>
  <w:font w:name="WenQuanYi Micro Hei">
    <w:panose1 w:val="020B0606030804020204"/>
    <w:charset w:val="86"/>
    <w:family w:val="auto"/>
    <w:pitch w:val="default"/>
    <w:sig w:usb0="E10002EF" w:usb1="6BDFFCFB" w:usb2="00800036" w:usb3="00000000" w:csb0="603E019F" w:csb1="DFD70000"/>
  </w:font>
  <w:font w:name="DejaVa Sans">
    <w:altName w:val="Gubbi"/>
    <w:panose1 w:val="00000000000000000000"/>
    <w:charset w:val="00"/>
    <w:family w:val="auto"/>
    <w:pitch w:val="default"/>
    <w:sig w:usb0="00000000" w:usb1="00000000" w:usb2="00000000" w:usb3="00000000" w:csb0="00000000" w:csb1="00000000"/>
  </w:font>
  <w:font w:name="Gubbi">
    <w:panose1 w:val="00000400000000000000"/>
    <w:charset w:val="00"/>
    <w:family w:val="auto"/>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jc w:val="center"/>
    </w:pPr>
    <w:r>
      <w:fldChar w:fldCharType="begin"/>
    </w:r>
    <w:r>
      <w:instrText xml:space="preserve"> PAGE </w:instrText>
    </w:r>
    <w:r>
      <w:fldChar w:fldCharType="separate"/>
    </w:r>
    <w:r>
      <w:t>2</w:t>
    </w:r>
    <w: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p>
  <w:p>
    <w:pPr>
      <w:pStyle w:val="1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1605377118">
    <w:nsid w:val="5FB01C5E"/>
    <w:multiLevelType w:val="multilevel"/>
    <w:tmpl w:val="5FB01C5E"/>
    <w:lvl w:ilvl="0" w:tentative="1">
      <w:start w:val="1"/>
      <w:numFmt w:val="decimal"/>
      <w:lvlText w:val="%1"/>
      <w:lvlJc w:val="left"/>
      <w:pPr>
        <w:tabs>
          <w:tab w:val="left" w:pos="720"/>
        </w:tabs>
        <w:ind w:left="720" w:hanging="360"/>
      </w:pPr>
      <w:rPr>
        <w:rFonts w:hint="default"/>
      </w:rPr>
    </w:lvl>
    <w:lvl w:ilvl="1" w:tentative="1">
      <w:start w:val="1"/>
      <w:numFmt w:val="lowerLetter"/>
      <w:lvlText w:val="%2."/>
      <w:lvlJc w:val="left"/>
      <w:pPr>
        <w:tabs>
          <w:tab w:val="left" w:pos="1440"/>
        </w:tabs>
        <w:ind w:left="1440" w:hanging="360"/>
      </w:pPr>
    </w:lvl>
    <w:lvl w:ilvl="2" w:tentative="1">
      <w:start w:val="1"/>
      <w:numFmt w:val="lowerRoman"/>
      <w:lvlText w:val="%3."/>
      <w:lvlJc w:val="right"/>
      <w:pPr>
        <w:tabs>
          <w:tab w:val="left" w:pos="2160"/>
        </w:tabs>
        <w:ind w:left="2160" w:hanging="180"/>
      </w:pPr>
    </w:lvl>
    <w:lvl w:ilvl="3" w:tentative="1">
      <w:start w:val="1"/>
      <w:numFmt w:val="decimal"/>
      <w:lvlText w:val="%4."/>
      <w:lvlJc w:val="left"/>
      <w:pPr>
        <w:tabs>
          <w:tab w:val="left" w:pos="2880"/>
        </w:tabs>
        <w:ind w:left="2880" w:hanging="360"/>
      </w:pPr>
    </w:lvl>
    <w:lvl w:ilvl="4" w:tentative="1">
      <w:start w:val="1"/>
      <w:numFmt w:val="lowerLetter"/>
      <w:lvlText w:val="%5."/>
      <w:lvlJc w:val="left"/>
      <w:pPr>
        <w:tabs>
          <w:tab w:val="left" w:pos="3600"/>
        </w:tabs>
        <w:ind w:left="3600" w:hanging="360"/>
      </w:pPr>
    </w:lvl>
    <w:lvl w:ilvl="5" w:tentative="1">
      <w:start w:val="1"/>
      <w:numFmt w:val="lowerRoman"/>
      <w:lvlText w:val="%6."/>
      <w:lvlJc w:val="right"/>
      <w:pPr>
        <w:tabs>
          <w:tab w:val="left" w:pos="4320"/>
        </w:tabs>
        <w:ind w:left="4320" w:hanging="180"/>
      </w:pPr>
    </w:lvl>
    <w:lvl w:ilvl="6" w:tentative="1">
      <w:start w:val="1"/>
      <w:numFmt w:val="decimal"/>
      <w:lvlText w:val="%7."/>
      <w:lvlJc w:val="left"/>
      <w:pPr>
        <w:tabs>
          <w:tab w:val="left" w:pos="5040"/>
        </w:tabs>
        <w:ind w:left="5040" w:hanging="360"/>
      </w:pPr>
    </w:lvl>
    <w:lvl w:ilvl="7" w:tentative="1">
      <w:start w:val="1"/>
      <w:numFmt w:val="lowerLetter"/>
      <w:lvlText w:val="%8."/>
      <w:lvlJc w:val="left"/>
      <w:pPr>
        <w:tabs>
          <w:tab w:val="left" w:pos="5760"/>
        </w:tabs>
        <w:ind w:left="5760" w:hanging="360"/>
      </w:pPr>
    </w:lvl>
    <w:lvl w:ilvl="8" w:tentative="1">
      <w:start w:val="1"/>
      <w:numFmt w:val="lowerRoman"/>
      <w:lvlText w:val="%9."/>
      <w:lvlJc w:val="right"/>
      <w:pPr>
        <w:tabs>
          <w:tab w:val="left" w:pos="6480"/>
        </w:tabs>
        <w:ind w:left="6480" w:hanging="180"/>
      </w:pPr>
    </w:lvl>
  </w:abstractNum>
  <w:num w:numId="1">
    <w:abstractNumId w:val="16053771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cumentProtection w:enforcement="0"/>
  <w:defaultTabStop w:val="708"/>
  <w:autoHyphenation/>
  <w:characterSpacingControl w:val="doNotCompress"/>
  <w:compat>
    <w:compatSetting w:name="compatibilityMode" w:uri="http://schemas.microsoft.com/office/word" w:val="14"/>
  </w:compat>
  <w:rsids>
    <w:rsidRoot w:val="00C603E0"/>
    <w:rsid w:val="00012D49"/>
    <w:rsid w:val="00017286"/>
    <w:rsid w:val="00027F79"/>
    <w:rsid w:val="0003720F"/>
    <w:rsid w:val="00066D90"/>
    <w:rsid w:val="00067756"/>
    <w:rsid w:val="00077CCD"/>
    <w:rsid w:val="000B544B"/>
    <w:rsid w:val="001014E0"/>
    <w:rsid w:val="001267A2"/>
    <w:rsid w:val="00127822"/>
    <w:rsid w:val="00133B93"/>
    <w:rsid w:val="00140B38"/>
    <w:rsid w:val="0014648C"/>
    <w:rsid w:val="001A1532"/>
    <w:rsid w:val="001A2401"/>
    <w:rsid w:val="0022096B"/>
    <w:rsid w:val="0024612B"/>
    <w:rsid w:val="0026112A"/>
    <w:rsid w:val="00271CC2"/>
    <w:rsid w:val="002B07ED"/>
    <w:rsid w:val="002D0010"/>
    <w:rsid w:val="002D1DFB"/>
    <w:rsid w:val="002D29AD"/>
    <w:rsid w:val="002E3377"/>
    <w:rsid w:val="00305264"/>
    <w:rsid w:val="00317ED0"/>
    <w:rsid w:val="00335C9C"/>
    <w:rsid w:val="00356B61"/>
    <w:rsid w:val="0035707D"/>
    <w:rsid w:val="0035758B"/>
    <w:rsid w:val="00367B97"/>
    <w:rsid w:val="003B5282"/>
    <w:rsid w:val="003B5D75"/>
    <w:rsid w:val="003E5443"/>
    <w:rsid w:val="00452F6C"/>
    <w:rsid w:val="004D1746"/>
    <w:rsid w:val="004D7721"/>
    <w:rsid w:val="00501D94"/>
    <w:rsid w:val="00504546"/>
    <w:rsid w:val="00506C9C"/>
    <w:rsid w:val="00525D2C"/>
    <w:rsid w:val="00575A2A"/>
    <w:rsid w:val="005B1CCE"/>
    <w:rsid w:val="005B33C0"/>
    <w:rsid w:val="005C52A2"/>
    <w:rsid w:val="005D30E9"/>
    <w:rsid w:val="005F4D5D"/>
    <w:rsid w:val="00625D3F"/>
    <w:rsid w:val="00660064"/>
    <w:rsid w:val="006612BD"/>
    <w:rsid w:val="00666846"/>
    <w:rsid w:val="00670CD1"/>
    <w:rsid w:val="006A533B"/>
    <w:rsid w:val="0074211A"/>
    <w:rsid w:val="0074683A"/>
    <w:rsid w:val="00752033"/>
    <w:rsid w:val="007556ED"/>
    <w:rsid w:val="00786CB5"/>
    <w:rsid w:val="008000D2"/>
    <w:rsid w:val="00801C5B"/>
    <w:rsid w:val="00806292"/>
    <w:rsid w:val="00821C91"/>
    <w:rsid w:val="0082679D"/>
    <w:rsid w:val="00851CAD"/>
    <w:rsid w:val="00855CF0"/>
    <w:rsid w:val="00881084"/>
    <w:rsid w:val="00891C2D"/>
    <w:rsid w:val="008976C5"/>
    <w:rsid w:val="008A7B6F"/>
    <w:rsid w:val="008E2BDE"/>
    <w:rsid w:val="008E597E"/>
    <w:rsid w:val="008F2272"/>
    <w:rsid w:val="008F7A99"/>
    <w:rsid w:val="009048EB"/>
    <w:rsid w:val="00922E72"/>
    <w:rsid w:val="009812D1"/>
    <w:rsid w:val="009850E9"/>
    <w:rsid w:val="009D08F2"/>
    <w:rsid w:val="009E7E64"/>
    <w:rsid w:val="009F31B3"/>
    <w:rsid w:val="00A01A6C"/>
    <w:rsid w:val="00A546E0"/>
    <w:rsid w:val="00B116EB"/>
    <w:rsid w:val="00BA26DD"/>
    <w:rsid w:val="00BA5856"/>
    <w:rsid w:val="00C11FEB"/>
    <w:rsid w:val="00C1227D"/>
    <w:rsid w:val="00C20B8D"/>
    <w:rsid w:val="00C5041C"/>
    <w:rsid w:val="00C603E0"/>
    <w:rsid w:val="00C831C4"/>
    <w:rsid w:val="00C83C99"/>
    <w:rsid w:val="00CB350E"/>
    <w:rsid w:val="00CB6BB1"/>
    <w:rsid w:val="00CC22DB"/>
    <w:rsid w:val="00CD6311"/>
    <w:rsid w:val="00CD6880"/>
    <w:rsid w:val="00CF6F0C"/>
    <w:rsid w:val="00D048F5"/>
    <w:rsid w:val="00D06BC3"/>
    <w:rsid w:val="00D33BE4"/>
    <w:rsid w:val="00D51BD2"/>
    <w:rsid w:val="00D57B99"/>
    <w:rsid w:val="00D612AF"/>
    <w:rsid w:val="00D86FA0"/>
    <w:rsid w:val="00DA3B9A"/>
    <w:rsid w:val="00E26A06"/>
    <w:rsid w:val="00E27986"/>
    <w:rsid w:val="00E3777A"/>
    <w:rsid w:val="00E50A8D"/>
    <w:rsid w:val="00E817CF"/>
    <w:rsid w:val="00E90957"/>
    <w:rsid w:val="00E977B6"/>
    <w:rsid w:val="00EB1122"/>
    <w:rsid w:val="00EB48AF"/>
    <w:rsid w:val="00EF4A83"/>
    <w:rsid w:val="00EF7AA1"/>
    <w:rsid w:val="00F04F25"/>
    <w:rsid w:val="00F960A3"/>
    <w:rsid w:val="00FA6D96"/>
    <w:rsid w:val="00FC2779"/>
    <w:rsid w:val="23FC17EB"/>
  </w:rsids>
  <w:themeFontLang w:val="ru-RU"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Calibri" w:cs="Times New Roman"/>
      </w:rPr>
    </w:rPrDefault>
  </w:docDefaults>
  <w:latentStyles w:count="260" w:defQFormat="0" w:defUnhideWhenUsed="1" w:defSemiHidden="1" w:defUIPriority="99" w:defLockedState="0">
    <w:lsdException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nhideWhenUsed="0" w:uiPriority="0" w:semiHidden="0" w:name="header"/>
    <w:lsdException w:unhideWhenUsed="0"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unhideWhenUsed="0" w:uiPriority="0" w:semiHidden="0" w:name="Body Text"/>
    <w:lsdException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nhideWhenUsed="0" w:uiPriority="0" w:semiHidden="0" w:name="Body Text 2"/>
    <w:lsdException w:unhideWhenUsed="0" w:uiPriority="0" w:semiHidden="0" w:name="Body Text 3"/>
    <w:lsdException w:uiPriority="99" w:name="Body Text Indent 2"/>
    <w:lsdException w:uiPriority="99" w:name="Body Text Indent 3"/>
    <w:lsdException w:uiPriority="99" w:name="Block Text"/>
    <w:lsdException w:uiPriority="99" w:semiHidden="0" w:name="Hyperlink"/>
    <w:lsdException w:uiPriority="99" w:semiHidden="0" w:name="FollowedHyperlink"/>
    <w:lsdException w:qFormat="1" w:unhideWhenUsed="0" w:uiPriority="0" w:semiHidden="0" w:name="Strong"/>
    <w:lsdException w:qFormat="1" w:unhideWhenUsed="0" w:uiPriority="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0" w:semiHidden="0" w:name="Balloon Text"/>
    <w:lsdException w:unhideWhenUsed="0" w:uiPriority="59" w:semiHidden="0" w:name="Table Grid"/>
    <w:lsdException w:uiPriority="99" w:name="Table Theme"/>
  </w:latentStyles>
  <w:style w:type="paragraph" w:default="1" w:styleId="1">
    <w:name w:val="Normal"/>
    <w:uiPriority w:val="0"/>
    <w:pPr>
      <w:suppressAutoHyphens/>
      <w:autoSpaceDN w:val="0"/>
      <w:spacing w:after="0" w:line="240" w:lineRule="auto"/>
      <w:textAlignment w:val="baseline"/>
    </w:pPr>
    <w:rPr>
      <w:rFonts w:ascii="Times New Roman" w:hAnsi="Times New Roman" w:eastAsia="Times New Roman" w:cs="Times New Roman"/>
      <w:sz w:val="24"/>
      <w:szCs w:val="24"/>
      <w:lang w:val="ru-RU" w:eastAsia="ru-RU" w:bidi="ar-SA"/>
    </w:rPr>
  </w:style>
  <w:style w:type="paragraph" w:styleId="2">
    <w:name w:val="heading 1"/>
    <w:basedOn w:val="1"/>
    <w:next w:val="1"/>
    <w:link w:val="35"/>
    <w:qFormat/>
    <w:uiPriority w:val="0"/>
    <w:pPr>
      <w:keepNext/>
      <w:suppressAutoHyphens w:val="0"/>
      <w:autoSpaceDN/>
      <w:spacing w:before="240" w:after="60"/>
      <w:textAlignment w:val="auto"/>
      <w:outlineLvl w:val="0"/>
    </w:pPr>
    <w:rPr>
      <w:rFonts w:ascii="Cambria" w:hAnsi="Cambria"/>
      <w:b/>
      <w:bCs/>
      <w:kern w:val="32"/>
      <w:sz w:val="32"/>
      <w:szCs w:val="32"/>
    </w:rPr>
  </w:style>
  <w:style w:type="paragraph" w:styleId="3">
    <w:name w:val="heading 2"/>
    <w:basedOn w:val="1"/>
    <w:next w:val="1"/>
    <w:link w:val="36"/>
    <w:qFormat/>
    <w:uiPriority w:val="0"/>
    <w:pPr>
      <w:keepNext/>
      <w:suppressAutoHyphens w:val="0"/>
      <w:autoSpaceDN/>
      <w:jc w:val="center"/>
      <w:textAlignment w:val="auto"/>
      <w:outlineLvl w:val="1"/>
    </w:pPr>
    <w:rPr>
      <w:b/>
      <w:szCs w:val="20"/>
    </w:rPr>
  </w:style>
  <w:style w:type="paragraph" w:styleId="4">
    <w:name w:val="heading 3"/>
    <w:basedOn w:val="1"/>
    <w:next w:val="1"/>
    <w:link w:val="37"/>
    <w:qFormat/>
    <w:uiPriority w:val="0"/>
    <w:pPr>
      <w:keepNext/>
      <w:suppressAutoHyphens w:val="0"/>
      <w:autoSpaceDN/>
      <w:jc w:val="center"/>
      <w:textAlignment w:val="auto"/>
      <w:outlineLvl w:val="2"/>
    </w:pPr>
    <w:rPr>
      <w:b/>
      <w:caps/>
      <w:spacing w:val="20"/>
      <w:sz w:val="32"/>
      <w:szCs w:val="20"/>
    </w:rPr>
  </w:style>
  <w:style w:type="paragraph" w:styleId="5">
    <w:name w:val="heading 4"/>
    <w:basedOn w:val="1"/>
    <w:next w:val="1"/>
    <w:link w:val="38"/>
    <w:qFormat/>
    <w:uiPriority w:val="0"/>
    <w:pPr>
      <w:keepNext/>
      <w:suppressAutoHyphens w:val="0"/>
      <w:autoSpaceDN/>
      <w:spacing w:before="240" w:after="60"/>
      <w:textAlignment w:val="auto"/>
      <w:outlineLvl w:val="3"/>
    </w:pPr>
    <w:rPr>
      <w:b/>
      <w:bCs/>
      <w:sz w:val="28"/>
      <w:szCs w:val="28"/>
    </w:rPr>
  </w:style>
  <w:style w:type="paragraph" w:styleId="6">
    <w:name w:val="heading 5"/>
    <w:basedOn w:val="1"/>
    <w:next w:val="1"/>
    <w:link w:val="39"/>
    <w:qFormat/>
    <w:uiPriority w:val="0"/>
    <w:pPr>
      <w:keepNext/>
      <w:suppressAutoHyphens w:val="0"/>
      <w:autoSpaceDN/>
      <w:jc w:val="right"/>
      <w:textAlignment w:val="auto"/>
      <w:outlineLvl w:val="4"/>
    </w:pPr>
    <w:rPr>
      <w:b/>
      <w:spacing w:val="20"/>
      <w:sz w:val="32"/>
      <w:szCs w:val="20"/>
      <w:u w:val="single"/>
    </w:rPr>
  </w:style>
  <w:style w:type="paragraph" w:styleId="7">
    <w:name w:val="heading 6"/>
    <w:basedOn w:val="1"/>
    <w:next w:val="1"/>
    <w:link w:val="40"/>
    <w:qFormat/>
    <w:uiPriority w:val="0"/>
    <w:pPr>
      <w:keepNext/>
      <w:suppressAutoHyphens w:val="0"/>
      <w:autoSpaceDN/>
      <w:spacing w:before="40" w:after="40"/>
      <w:jc w:val="center"/>
      <w:textAlignment w:val="auto"/>
      <w:outlineLvl w:val="5"/>
    </w:pPr>
    <w:rPr>
      <w:rFonts w:ascii="Arial" w:hAnsi="Arial" w:cs="Arial"/>
      <w:b/>
      <w:bCs/>
      <w:sz w:val="20"/>
    </w:rPr>
  </w:style>
  <w:style w:type="paragraph" w:styleId="8">
    <w:name w:val="heading 7"/>
    <w:basedOn w:val="1"/>
    <w:next w:val="1"/>
    <w:link w:val="41"/>
    <w:qFormat/>
    <w:uiPriority w:val="0"/>
    <w:pPr>
      <w:keepNext/>
      <w:suppressAutoHyphens w:val="0"/>
      <w:autoSpaceDN/>
      <w:spacing w:line="360" w:lineRule="auto"/>
      <w:ind w:firstLine="851"/>
      <w:jc w:val="center"/>
      <w:textAlignment w:val="auto"/>
      <w:outlineLvl w:val="6"/>
    </w:pPr>
    <w:rPr>
      <w:b/>
    </w:rPr>
  </w:style>
  <w:style w:type="paragraph" w:styleId="9">
    <w:name w:val="heading 8"/>
    <w:basedOn w:val="1"/>
    <w:next w:val="1"/>
    <w:link w:val="42"/>
    <w:qFormat/>
    <w:uiPriority w:val="0"/>
    <w:pPr>
      <w:keepNext/>
      <w:suppressAutoHyphens w:val="0"/>
      <w:autoSpaceDN/>
      <w:jc w:val="center"/>
      <w:textAlignment w:val="auto"/>
      <w:outlineLvl w:val="7"/>
    </w:pPr>
    <w:rPr>
      <w:rFonts w:ascii="Arial" w:hAnsi="Arial" w:cs="Arial"/>
      <w:b/>
      <w:bCs/>
      <w:sz w:val="22"/>
    </w:rPr>
  </w:style>
  <w:style w:type="paragraph" w:styleId="10">
    <w:name w:val="heading 9"/>
    <w:basedOn w:val="1"/>
    <w:next w:val="1"/>
    <w:link w:val="43"/>
    <w:qFormat/>
    <w:uiPriority w:val="0"/>
    <w:pPr>
      <w:suppressAutoHyphens w:val="0"/>
      <w:autoSpaceDN/>
      <w:spacing w:before="240" w:after="60"/>
      <w:textAlignment w:val="auto"/>
      <w:outlineLvl w:val="8"/>
    </w:pPr>
    <w:rPr>
      <w:rFonts w:ascii="Arial" w:hAnsi="Arial" w:cs="Arial"/>
      <w:sz w:val="22"/>
      <w:szCs w:val="22"/>
    </w:rPr>
  </w:style>
  <w:style w:type="character" w:default="1" w:styleId="22">
    <w:name w:val="Default Paragraph Font"/>
    <w:unhideWhenUsed/>
    <w:uiPriority w:val="1"/>
  </w:style>
  <w:style w:type="table" w:default="1" w:styleId="28">
    <w:name w:val="Normal Table"/>
    <w:unhideWhenUsed/>
    <w:uiPriority w:val="99"/>
    <w:tblPr>
      <w:tblLayout w:type="fixed"/>
      <w:tblCellMar>
        <w:top w:w="0" w:type="dxa"/>
        <w:left w:w="108" w:type="dxa"/>
        <w:bottom w:w="0" w:type="dxa"/>
        <w:right w:w="108" w:type="dxa"/>
      </w:tblCellMar>
    </w:tblPr>
  </w:style>
  <w:style w:type="paragraph" w:styleId="11">
    <w:name w:val="Balloon Text"/>
    <w:basedOn w:val="1"/>
    <w:uiPriority w:val="0"/>
    <w:rPr>
      <w:rFonts w:ascii="Tahoma" w:hAnsi="Tahoma" w:cs="Tahoma"/>
      <w:sz w:val="16"/>
      <w:szCs w:val="16"/>
    </w:rPr>
  </w:style>
  <w:style w:type="paragraph" w:styleId="12">
    <w:name w:val="Body Text 2"/>
    <w:basedOn w:val="1"/>
    <w:link w:val="89"/>
    <w:uiPriority w:val="0"/>
    <w:pPr>
      <w:suppressAutoHyphens w:val="0"/>
      <w:autoSpaceDN/>
      <w:textAlignment w:val="auto"/>
    </w:pPr>
    <w:rPr>
      <w:b/>
      <w:bCs/>
      <w:sz w:val="28"/>
    </w:rPr>
  </w:style>
  <w:style w:type="paragraph" w:styleId="13">
    <w:name w:val="caption"/>
    <w:basedOn w:val="1"/>
    <w:next w:val="1"/>
    <w:qFormat/>
    <w:uiPriority w:val="0"/>
    <w:pPr>
      <w:framePr w:w="5199" w:h="1732" w:hSpace="142" w:wrap="around" w:vAnchor="page" w:hAnchor="page" w:x="858" w:y="721"/>
      <w:suppressAutoHyphens w:val="0"/>
      <w:autoSpaceDN/>
      <w:spacing w:line="360" w:lineRule="auto"/>
      <w:jc w:val="center"/>
      <w:textAlignment w:val="auto"/>
    </w:pPr>
    <w:rPr>
      <w:b/>
      <w:sz w:val="28"/>
    </w:rPr>
  </w:style>
  <w:style w:type="paragraph" w:styleId="14">
    <w:name w:val="header"/>
    <w:basedOn w:val="1"/>
    <w:uiPriority w:val="0"/>
    <w:pPr>
      <w:tabs>
        <w:tab w:val="center" w:pos="4677"/>
        <w:tab w:val="right" w:pos="9355"/>
      </w:tabs>
    </w:pPr>
  </w:style>
  <w:style w:type="paragraph" w:styleId="15">
    <w:name w:val="Body Text"/>
    <w:basedOn w:val="1"/>
    <w:link w:val="74"/>
    <w:uiPriority w:val="0"/>
    <w:pPr>
      <w:shd w:val="clear" w:color="auto" w:fill="FFFFFF"/>
      <w:suppressAutoHyphens w:val="0"/>
      <w:autoSpaceDN/>
      <w:spacing w:line="240" w:lineRule="atLeast"/>
      <w:textAlignment w:val="auto"/>
    </w:pPr>
    <w:rPr>
      <w:rFonts w:eastAsia="Arial Unicode MS"/>
      <w:sz w:val="19"/>
      <w:szCs w:val="19"/>
    </w:rPr>
  </w:style>
  <w:style w:type="paragraph" w:styleId="16">
    <w:name w:val="Body Text Indent"/>
    <w:basedOn w:val="1"/>
    <w:link w:val="91"/>
    <w:uiPriority w:val="0"/>
    <w:pPr>
      <w:suppressAutoHyphens w:val="0"/>
      <w:autoSpaceDN/>
      <w:ind w:firstLine="709"/>
      <w:textAlignment w:val="auto"/>
    </w:pPr>
    <w:rPr>
      <w:color w:val="000000"/>
      <w:sz w:val="28"/>
    </w:rPr>
  </w:style>
  <w:style w:type="paragraph" w:styleId="17">
    <w:name w:val="Title"/>
    <w:basedOn w:val="1"/>
    <w:link w:val="44"/>
    <w:qFormat/>
    <w:uiPriority w:val="0"/>
    <w:pPr>
      <w:suppressAutoHyphens w:val="0"/>
      <w:autoSpaceDN/>
      <w:jc w:val="center"/>
      <w:textAlignment w:val="auto"/>
    </w:pPr>
    <w:rPr>
      <w:b/>
      <w:bCs/>
      <w:sz w:val="28"/>
      <w:szCs w:val="28"/>
    </w:rPr>
  </w:style>
  <w:style w:type="paragraph" w:styleId="18">
    <w:name w:val="footer"/>
    <w:basedOn w:val="1"/>
    <w:uiPriority w:val="99"/>
    <w:pPr>
      <w:tabs>
        <w:tab w:val="center" w:pos="4677"/>
        <w:tab w:val="right" w:pos="9355"/>
      </w:tabs>
    </w:pPr>
  </w:style>
  <w:style w:type="paragraph" w:styleId="19">
    <w:name w:val="Normal (Web)"/>
    <w:basedOn w:val="1"/>
    <w:unhideWhenUsed/>
    <w:uiPriority w:val="99"/>
    <w:pPr>
      <w:suppressAutoHyphens w:val="0"/>
      <w:autoSpaceDN/>
      <w:spacing w:before="100" w:beforeAutospacing="1" w:after="100" w:afterAutospacing="1"/>
      <w:textAlignment w:val="auto"/>
    </w:pPr>
  </w:style>
  <w:style w:type="paragraph" w:styleId="20">
    <w:name w:val="Body Text 3"/>
    <w:basedOn w:val="1"/>
    <w:link w:val="90"/>
    <w:uiPriority w:val="0"/>
    <w:pPr>
      <w:suppressAutoHyphens w:val="0"/>
      <w:autoSpaceDN/>
      <w:jc w:val="center"/>
      <w:textAlignment w:val="auto"/>
    </w:pPr>
    <w:rPr>
      <w:b/>
      <w:bCs/>
      <w:sz w:val="22"/>
    </w:rPr>
  </w:style>
  <w:style w:type="paragraph" w:styleId="21">
    <w:name w:val="Subtitle"/>
    <w:basedOn w:val="1"/>
    <w:link w:val="88"/>
    <w:qFormat/>
    <w:uiPriority w:val="0"/>
    <w:pPr>
      <w:suppressAutoHyphens w:val="0"/>
      <w:autoSpaceDN/>
      <w:jc w:val="center"/>
      <w:textAlignment w:val="auto"/>
    </w:pPr>
    <w:rPr>
      <w:sz w:val="28"/>
      <w:u w:val="single"/>
    </w:rPr>
  </w:style>
  <w:style w:type="character" w:styleId="23">
    <w:name w:val="FollowedHyperlink"/>
    <w:unhideWhenUsed/>
    <w:uiPriority w:val="99"/>
    <w:rPr>
      <w:color w:val="800080"/>
      <w:u w:val="single"/>
    </w:rPr>
  </w:style>
  <w:style w:type="character" w:styleId="24">
    <w:name w:val="Emphasis"/>
    <w:basedOn w:val="22"/>
    <w:qFormat/>
    <w:uiPriority w:val="0"/>
    <w:rPr>
      <w:i/>
      <w:iCs/>
    </w:rPr>
  </w:style>
  <w:style w:type="character" w:styleId="25">
    <w:name w:val="Hyperlink"/>
    <w:unhideWhenUsed/>
    <w:uiPriority w:val="99"/>
    <w:rPr>
      <w:color w:val="0000FF"/>
      <w:u w:val="single"/>
    </w:rPr>
  </w:style>
  <w:style w:type="character" w:styleId="26">
    <w:name w:val="page number"/>
    <w:basedOn w:val="22"/>
    <w:uiPriority w:val="0"/>
  </w:style>
  <w:style w:type="character" w:styleId="27">
    <w:name w:val="Strong"/>
    <w:basedOn w:val="22"/>
    <w:qFormat/>
    <w:uiPriority w:val="0"/>
    <w:rPr>
      <w:b/>
      <w:bCs/>
    </w:rPr>
  </w:style>
  <w:style w:type="table" w:styleId="29">
    <w:name w:val="Table Grid"/>
    <w:basedOn w:val="28"/>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customStyle="1" w:styleId="30">
    <w:name w:val="Default"/>
    <w:uiPriority w:val="0"/>
    <w:pPr>
      <w:suppressAutoHyphens/>
      <w:autoSpaceDE w:val="0"/>
      <w:autoSpaceDN w:val="0"/>
      <w:spacing w:after="0" w:line="240" w:lineRule="auto"/>
      <w:textAlignment w:val="baseline"/>
    </w:pPr>
    <w:rPr>
      <w:rFonts w:ascii="Times New Roman" w:hAnsi="Times New Roman" w:eastAsia="Calibri" w:cs="Times New Roman"/>
      <w:color w:val="000000"/>
      <w:sz w:val="24"/>
      <w:szCs w:val="24"/>
      <w:lang w:val="ru-RU" w:eastAsia="en-US" w:bidi="ar-SA"/>
    </w:rPr>
  </w:style>
  <w:style w:type="character" w:customStyle="1" w:styleId="31">
    <w:name w:val="Верхний колонтитул Знак"/>
    <w:basedOn w:val="22"/>
    <w:uiPriority w:val="0"/>
    <w:rPr>
      <w:rFonts w:ascii="Times New Roman" w:hAnsi="Times New Roman" w:eastAsia="Times New Roman" w:cs="Times New Roman"/>
      <w:sz w:val="24"/>
      <w:szCs w:val="24"/>
      <w:lang w:eastAsia="ru-RU"/>
    </w:rPr>
  </w:style>
  <w:style w:type="character" w:customStyle="1" w:styleId="32">
    <w:name w:val="Нижний колонтитул Знак"/>
    <w:basedOn w:val="22"/>
    <w:uiPriority w:val="99"/>
    <w:rPr>
      <w:rFonts w:ascii="Times New Roman" w:hAnsi="Times New Roman" w:eastAsia="Times New Roman" w:cs="Times New Roman"/>
      <w:sz w:val="24"/>
      <w:szCs w:val="24"/>
      <w:lang w:eastAsia="ru-RU"/>
    </w:rPr>
  </w:style>
  <w:style w:type="character" w:customStyle="1" w:styleId="33">
    <w:name w:val="Текст выноски Знак"/>
    <w:basedOn w:val="22"/>
    <w:uiPriority w:val="99"/>
    <w:rPr>
      <w:rFonts w:ascii="Tahoma" w:hAnsi="Tahoma" w:eastAsia="Times New Roman" w:cs="Tahoma"/>
      <w:sz w:val="16"/>
      <w:szCs w:val="16"/>
      <w:lang w:eastAsia="ru-RU"/>
    </w:rPr>
  </w:style>
  <w:style w:type="character" w:customStyle="1" w:styleId="34">
    <w:name w:val="Subtle Emphasis"/>
    <w:basedOn w:val="22"/>
    <w:uiPriority w:val="0"/>
    <w:rPr>
      <w:i/>
      <w:iCs/>
      <w:color w:val="808080"/>
    </w:rPr>
  </w:style>
  <w:style w:type="character" w:customStyle="1" w:styleId="35">
    <w:name w:val="Заголовок 1 Знак"/>
    <w:basedOn w:val="22"/>
    <w:link w:val="2"/>
    <w:uiPriority w:val="0"/>
    <w:rPr>
      <w:rFonts w:ascii="Cambria" w:hAnsi="Cambria" w:eastAsia="Times New Roman"/>
      <w:b/>
      <w:bCs/>
      <w:kern w:val="32"/>
      <w:sz w:val="32"/>
      <w:szCs w:val="32"/>
      <w:lang w:eastAsia="ru-RU"/>
    </w:rPr>
  </w:style>
  <w:style w:type="character" w:customStyle="1" w:styleId="36">
    <w:name w:val="Заголовок 2 Знак"/>
    <w:basedOn w:val="22"/>
    <w:link w:val="3"/>
    <w:uiPriority w:val="0"/>
    <w:rPr>
      <w:rFonts w:ascii="Times New Roman" w:hAnsi="Times New Roman" w:eastAsia="Times New Roman"/>
      <w:b/>
      <w:sz w:val="24"/>
      <w:szCs w:val="20"/>
      <w:lang w:eastAsia="ru-RU"/>
    </w:rPr>
  </w:style>
  <w:style w:type="character" w:customStyle="1" w:styleId="37">
    <w:name w:val="Заголовок 3 Знак"/>
    <w:basedOn w:val="22"/>
    <w:link w:val="4"/>
    <w:uiPriority w:val="0"/>
    <w:rPr>
      <w:rFonts w:ascii="Times New Roman" w:hAnsi="Times New Roman" w:eastAsia="Times New Roman"/>
      <w:b/>
      <w:caps/>
      <w:spacing w:val="20"/>
      <w:sz w:val="32"/>
      <w:szCs w:val="20"/>
      <w:lang w:eastAsia="ru-RU"/>
    </w:rPr>
  </w:style>
  <w:style w:type="character" w:customStyle="1" w:styleId="38">
    <w:name w:val="Заголовок 4 Знак"/>
    <w:basedOn w:val="22"/>
    <w:link w:val="5"/>
    <w:uiPriority w:val="0"/>
    <w:rPr>
      <w:rFonts w:ascii="Times New Roman" w:hAnsi="Times New Roman" w:eastAsia="Times New Roman"/>
      <w:b/>
      <w:bCs/>
      <w:sz w:val="28"/>
      <w:szCs w:val="28"/>
      <w:lang w:eastAsia="ru-RU"/>
    </w:rPr>
  </w:style>
  <w:style w:type="character" w:customStyle="1" w:styleId="39">
    <w:name w:val="Заголовок 5 Знак"/>
    <w:basedOn w:val="22"/>
    <w:link w:val="6"/>
    <w:uiPriority w:val="0"/>
    <w:rPr>
      <w:rFonts w:ascii="Times New Roman" w:hAnsi="Times New Roman" w:eastAsia="Times New Roman"/>
      <w:b/>
      <w:spacing w:val="20"/>
      <w:sz w:val="32"/>
      <w:szCs w:val="20"/>
      <w:u w:val="single"/>
      <w:lang w:eastAsia="ru-RU"/>
    </w:rPr>
  </w:style>
  <w:style w:type="character" w:customStyle="1" w:styleId="40">
    <w:name w:val="Заголовок 6 Знак"/>
    <w:basedOn w:val="22"/>
    <w:link w:val="7"/>
    <w:uiPriority w:val="0"/>
    <w:rPr>
      <w:rFonts w:ascii="Arial" w:hAnsi="Arial" w:eastAsia="Times New Roman" w:cs="Arial"/>
      <w:b/>
      <w:bCs/>
      <w:sz w:val="20"/>
      <w:szCs w:val="24"/>
      <w:lang w:eastAsia="ru-RU"/>
    </w:rPr>
  </w:style>
  <w:style w:type="character" w:customStyle="1" w:styleId="41">
    <w:name w:val="Заголовок 7 Знак"/>
    <w:basedOn w:val="22"/>
    <w:link w:val="8"/>
    <w:uiPriority w:val="0"/>
    <w:rPr>
      <w:rFonts w:ascii="Times New Roman" w:hAnsi="Times New Roman" w:eastAsia="Times New Roman"/>
      <w:b/>
      <w:sz w:val="24"/>
      <w:szCs w:val="24"/>
      <w:lang w:eastAsia="ru-RU"/>
    </w:rPr>
  </w:style>
  <w:style w:type="character" w:customStyle="1" w:styleId="42">
    <w:name w:val="Заголовок 8 Знак"/>
    <w:basedOn w:val="22"/>
    <w:link w:val="9"/>
    <w:uiPriority w:val="0"/>
    <w:rPr>
      <w:rFonts w:ascii="Arial" w:hAnsi="Arial" w:eastAsia="Times New Roman" w:cs="Arial"/>
      <w:b/>
      <w:bCs/>
      <w:szCs w:val="24"/>
      <w:lang w:eastAsia="ru-RU"/>
    </w:rPr>
  </w:style>
  <w:style w:type="character" w:customStyle="1" w:styleId="43">
    <w:name w:val="Заголовок 9 Знак"/>
    <w:basedOn w:val="22"/>
    <w:link w:val="10"/>
    <w:uiPriority w:val="0"/>
    <w:rPr>
      <w:rFonts w:ascii="Arial" w:hAnsi="Arial" w:eastAsia="Times New Roman" w:cs="Arial"/>
      <w:lang w:eastAsia="ru-RU"/>
    </w:rPr>
  </w:style>
  <w:style w:type="character" w:customStyle="1" w:styleId="44">
    <w:name w:val="Название Знак"/>
    <w:basedOn w:val="22"/>
    <w:link w:val="17"/>
    <w:uiPriority w:val="0"/>
    <w:rPr>
      <w:rFonts w:ascii="Times New Roman" w:hAnsi="Times New Roman" w:eastAsia="Times New Roman"/>
      <w:b/>
      <w:bCs/>
      <w:sz w:val="28"/>
      <w:szCs w:val="28"/>
      <w:lang w:eastAsia="ru-RU"/>
    </w:rPr>
  </w:style>
  <w:style w:type="table" w:customStyle="1" w:styleId="45">
    <w:name w:val="Сетка таблицы1"/>
    <w:basedOn w:val="28"/>
    <w:uiPriority w:val="59"/>
    <w:pPr>
      <w:autoSpaceDN/>
      <w:spacing w:after="0" w:line="240" w:lineRule="auto"/>
      <w:textAlignment w:val="auto"/>
    </w:pPr>
    <w:rPr>
      <w:rFonts w:ascii="Times New Roman" w:hAnsi="Times New Roman" w:eastAsia="Times New Roman"/>
      <w:sz w:val="20"/>
      <w:szCs w:val="20"/>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Pr>
  </w:style>
  <w:style w:type="character" w:customStyle="1" w:styleId="46">
    <w:name w:val="Основной текст_"/>
    <w:basedOn w:val="22"/>
    <w:link w:val="47"/>
    <w:uiPriority w:val="0"/>
    <w:rPr>
      <w:shd w:val="clear" w:color="auto" w:fill="FFFFFF"/>
    </w:rPr>
  </w:style>
  <w:style w:type="paragraph" w:customStyle="1" w:styleId="47">
    <w:name w:val="Основной текст5"/>
    <w:basedOn w:val="1"/>
    <w:link w:val="46"/>
    <w:uiPriority w:val="0"/>
    <w:pPr>
      <w:shd w:val="clear" w:color="auto" w:fill="FFFFFF"/>
      <w:suppressAutoHyphens w:val="0"/>
      <w:autoSpaceDN/>
      <w:spacing w:line="0" w:lineRule="atLeast"/>
      <w:textAlignment w:val="auto"/>
    </w:pPr>
    <w:rPr>
      <w:rFonts w:ascii="Calibri" w:hAnsi="Calibri" w:eastAsia="Calibri"/>
      <w:sz w:val="22"/>
      <w:szCs w:val="22"/>
      <w:lang w:eastAsia="en-US"/>
    </w:rPr>
  </w:style>
  <w:style w:type="character" w:customStyle="1" w:styleId="48">
    <w:name w:val="Основной текст (3)_"/>
    <w:basedOn w:val="22"/>
    <w:link w:val="49"/>
    <w:uiPriority w:val="99"/>
    <w:rPr>
      <w:rFonts w:ascii="Candara" w:hAnsi="Candara" w:eastAsia="Candara" w:cs="Candara"/>
      <w:sz w:val="19"/>
      <w:szCs w:val="19"/>
      <w:shd w:val="clear" w:color="auto" w:fill="FFFFFF"/>
    </w:rPr>
  </w:style>
  <w:style w:type="paragraph" w:customStyle="1" w:styleId="49">
    <w:name w:val="Основной текст (3)"/>
    <w:basedOn w:val="1"/>
    <w:link w:val="48"/>
    <w:uiPriority w:val="99"/>
    <w:pPr>
      <w:shd w:val="clear" w:color="auto" w:fill="FFFFFF"/>
      <w:suppressAutoHyphens w:val="0"/>
      <w:autoSpaceDN/>
      <w:spacing w:line="0" w:lineRule="atLeast"/>
      <w:textAlignment w:val="auto"/>
    </w:pPr>
    <w:rPr>
      <w:rFonts w:ascii="Candara" w:hAnsi="Candara" w:eastAsia="Candara" w:cs="Candara"/>
      <w:sz w:val="19"/>
      <w:szCs w:val="19"/>
      <w:lang w:eastAsia="en-US"/>
    </w:rPr>
  </w:style>
  <w:style w:type="character" w:customStyle="1" w:styleId="50">
    <w:name w:val="Основной текст (2)_"/>
    <w:basedOn w:val="22"/>
    <w:link w:val="51"/>
    <w:uiPriority w:val="0"/>
    <w:rPr>
      <w:sz w:val="18"/>
      <w:szCs w:val="18"/>
      <w:shd w:val="clear" w:color="auto" w:fill="FFFFFF"/>
    </w:rPr>
  </w:style>
  <w:style w:type="paragraph" w:customStyle="1" w:styleId="51">
    <w:name w:val="Основной текст (2)"/>
    <w:basedOn w:val="1"/>
    <w:link w:val="50"/>
    <w:uiPriority w:val="0"/>
    <w:pPr>
      <w:shd w:val="clear" w:color="auto" w:fill="FFFFFF"/>
      <w:suppressAutoHyphens w:val="0"/>
      <w:autoSpaceDN/>
      <w:spacing w:line="0" w:lineRule="atLeast"/>
      <w:textAlignment w:val="auto"/>
    </w:pPr>
    <w:rPr>
      <w:rFonts w:ascii="Calibri" w:hAnsi="Calibri" w:eastAsia="Calibri"/>
      <w:sz w:val="18"/>
      <w:szCs w:val="18"/>
      <w:lang w:eastAsia="en-US"/>
    </w:rPr>
  </w:style>
  <w:style w:type="character" w:customStyle="1" w:styleId="52">
    <w:name w:val="Подпись к таблице_"/>
    <w:basedOn w:val="22"/>
    <w:link w:val="53"/>
    <w:uiPriority w:val="0"/>
    <w:rPr>
      <w:shd w:val="clear" w:color="auto" w:fill="FFFFFF"/>
    </w:rPr>
  </w:style>
  <w:style w:type="paragraph" w:customStyle="1" w:styleId="53">
    <w:name w:val="Подпись к таблице"/>
    <w:basedOn w:val="1"/>
    <w:link w:val="52"/>
    <w:uiPriority w:val="0"/>
    <w:pPr>
      <w:shd w:val="clear" w:color="auto" w:fill="FFFFFF"/>
      <w:suppressAutoHyphens w:val="0"/>
      <w:autoSpaceDN/>
      <w:spacing w:line="0" w:lineRule="atLeast"/>
      <w:textAlignment w:val="auto"/>
    </w:pPr>
    <w:rPr>
      <w:rFonts w:ascii="Calibri" w:hAnsi="Calibri" w:eastAsia="Calibri"/>
      <w:sz w:val="22"/>
      <w:szCs w:val="22"/>
      <w:lang w:eastAsia="en-US"/>
    </w:rPr>
  </w:style>
  <w:style w:type="character" w:customStyle="1" w:styleId="54">
    <w:name w:val="Основной текст (4)_"/>
    <w:basedOn w:val="22"/>
    <w:link w:val="55"/>
    <w:uiPriority w:val="99"/>
    <w:rPr>
      <w:sz w:val="23"/>
      <w:szCs w:val="23"/>
      <w:shd w:val="clear" w:color="auto" w:fill="FFFFFF"/>
    </w:rPr>
  </w:style>
  <w:style w:type="paragraph" w:customStyle="1" w:styleId="55">
    <w:name w:val="Основной текст (4)"/>
    <w:basedOn w:val="1"/>
    <w:link w:val="54"/>
    <w:uiPriority w:val="99"/>
    <w:pPr>
      <w:shd w:val="clear" w:color="auto" w:fill="FFFFFF"/>
      <w:suppressAutoHyphens w:val="0"/>
      <w:autoSpaceDN/>
      <w:spacing w:line="269" w:lineRule="exact"/>
      <w:textAlignment w:val="auto"/>
    </w:pPr>
    <w:rPr>
      <w:rFonts w:ascii="Calibri" w:hAnsi="Calibri" w:eastAsia="Calibri"/>
      <w:sz w:val="23"/>
      <w:szCs w:val="23"/>
      <w:lang w:eastAsia="en-US"/>
    </w:rPr>
  </w:style>
  <w:style w:type="character" w:customStyle="1" w:styleId="56">
    <w:name w:val="Основной текст (4) + Интервал 1 pt"/>
    <w:basedOn w:val="54"/>
    <w:uiPriority w:val="99"/>
    <w:rPr>
      <w:spacing w:val="30"/>
      <w:sz w:val="23"/>
      <w:szCs w:val="23"/>
      <w:shd w:val="clear" w:color="auto" w:fill="FFFFFF"/>
    </w:rPr>
  </w:style>
  <w:style w:type="character" w:customStyle="1" w:styleId="57">
    <w:name w:val="Основной текст (4) + 10 pt;Малые прописные"/>
    <w:basedOn w:val="54"/>
    <w:uiPriority w:val="0"/>
    <w:rPr>
      <w:smallCaps/>
      <w:sz w:val="20"/>
      <w:szCs w:val="20"/>
      <w:shd w:val="clear" w:color="auto" w:fill="FFFFFF"/>
      <w:lang w:val="en-US"/>
    </w:rPr>
  </w:style>
  <w:style w:type="character" w:customStyle="1" w:styleId="58">
    <w:name w:val="Основной текст1"/>
    <w:basedOn w:val="46"/>
    <w:uiPriority w:val="0"/>
    <w:rPr>
      <w:rFonts w:ascii="Times New Roman" w:hAnsi="Times New Roman" w:eastAsia="Times New Roman" w:cs="Times New Roman"/>
      <w:spacing w:val="0"/>
      <w:sz w:val="20"/>
      <w:szCs w:val="20"/>
      <w:shd w:val="clear" w:color="auto" w:fill="FFFFFF"/>
    </w:rPr>
  </w:style>
  <w:style w:type="character" w:customStyle="1" w:styleId="59">
    <w:name w:val="Основной текст (6)_"/>
    <w:basedOn w:val="22"/>
    <w:link w:val="60"/>
    <w:uiPriority w:val="99"/>
    <w:rPr>
      <w:shd w:val="clear" w:color="auto" w:fill="FFFFFF"/>
    </w:rPr>
  </w:style>
  <w:style w:type="paragraph" w:customStyle="1" w:styleId="60">
    <w:name w:val="Основной текст (6)"/>
    <w:basedOn w:val="1"/>
    <w:link w:val="59"/>
    <w:uiPriority w:val="99"/>
    <w:pPr>
      <w:shd w:val="clear" w:color="auto" w:fill="FFFFFF"/>
      <w:suppressAutoHyphens w:val="0"/>
      <w:autoSpaceDN/>
      <w:spacing w:after="180" w:line="250" w:lineRule="exact"/>
      <w:textAlignment w:val="auto"/>
    </w:pPr>
    <w:rPr>
      <w:rFonts w:ascii="Calibri" w:hAnsi="Calibri" w:eastAsia="Calibri"/>
      <w:sz w:val="22"/>
      <w:szCs w:val="22"/>
      <w:lang w:eastAsia="en-US"/>
    </w:rPr>
  </w:style>
  <w:style w:type="character" w:customStyle="1" w:styleId="61">
    <w:name w:val="Основной текст (5)_"/>
    <w:basedOn w:val="22"/>
    <w:link w:val="62"/>
    <w:uiPriority w:val="99"/>
    <w:rPr>
      <w:rFonts w:ascii="Consolas" w:hAnsi="Consolas" w:eastAsia="Consolas" w:cs="Consolas"/>
      <w:shd w:val="clear" w:color="auto" w:fill="FFFFFF"/>
    </w:rPr>
  </w:style>
  <w:style w:type="paragraph" w:customStyle="1" w:styleId="62">
    <w:name w:val="Основной текст (5)"/>
    <w:basedOn w:val="1"/>
    <w:link w:val="61"/>
    <w:uiPriority w:val="99"/>
    <w:pPr>
      <w:shd w:val="clear" w:color="auto" w:fill="FFFFFF"/>
      <w:suppressAutoHyphens w:val="0"/>
      <w:autoSpaceDN/>
      <w:spacing w:line="0" w:lineRule="atLeast"/>
      <w:textAlignment w:val="auto"/>
    </w:pPr>
    <w:rPr>
      <w:rFonts w:ascii="Consolas" w:hAnsi="Consolas" w:eastAsia="Consolas" w:cs="Consolas"/>
      <w:sz w:val="22"/>
      <w:szCs w:val="22"/>
      <w:lang w:eastAsia="en-US"/>
    </w:rPr>
  </w:style>
  <w:style w:type="character" w:customStyle="1" w:styleId="63">
    <w:name w:val="Основной текст + Интервал 1 pt"/>
    <w:basedOn w:val="46"/>
    <w:uiPriority w:val="99"/>
    <w:rPr>
      <w:rFonts w:ascii="Times New Roman" w:hAnsi="Times New Roman" w:eastAsia="Times New Roman" w:cs="Times New Roman"/>
      <w:spacing w:val="20"/>
      <w:sz w:val="20"/>
      <w:szCs w:val="20"/>
      <w:shd w:val="clear" w:color="auto" w:fill="FFFFFF"/>
    </w:rPr>
  </w:style>
  <w:style w:type="character" w:customStyle="1" w:styleId="64">
    <w:name w:val="Заголовок №1_"/>
    <w:basedOn w:val="22"/>
    <w:link w:val="65"/>
    <w:uiPriority w:val="99"/>
    <w:rPr>
      <w:sz w:val="24"/>
      <w:szCs w:val="24"/>
      <w:shd w:val="clear" w:color="auto" w:fill="FFFFFF"/>
    </w:rPr>
  </w:style>
  <w:style w:type="paragraph" w:customStyle="1" w:styleId="65">
    <w:name w:val="Заголовок №1"/>
    <w:basedOn w:val="1"/>
    <w:link w:val="64"/>
    <w:uiPriority w:val="99"/>
    <w:pPr>
      <w:shd w:val="clear" w:color="auto" w:fill="FFFFFF"/>
      <w:suppressAutoHyphens w:val="0"/>
      <w:autoSpaceDN/>
      <w:spacing w:before="540" w:after="240" w:line="0" w:lineRule="atLeast"/>
      <w:textAlignment w:val="auto"/>
      <w:outlineLvl w:val="0"/>
    </w:pPr>
    <w:rPr>
      <w:rFonts w:ascii="Calibri" w:hAnsi="Calibri" w:eastAsia="Calibri"/>
      <w:lang w:eastAsia="en-US"/>
    </w:rPr>
  </w:style>
  <w:style w:type="character" w:customStyle="1" w:styleId="66">
    <w:name w:val="Основной текст2"/>
    <w:basedOn w:val="46"/>
    <w:uiPriority w:val="0"/>
    <w:rPr>
      <w:rFonts w:ascii="Times New Roman" w:hAnsi="Times New Roman" w:eastAsia="Times New Roman" w:cs="Times New Roman"/>
      <w:spacing w:val="0"/>
      <w:sz w:val="20"/>
      <w:szCs w:val="20"/>
      <w:shd w:val="clear" w:color="auto" w:fill="FFFFFF"/>
    </w:rPr>
  </w:style>
  <w:style w:type="character" w:customStyle="1" w:styleId="67">
    <w:name w:val="Основной текст3"/>
    <w:basedOn w:val="46"/>
    <w:uiPriority w:val="0"/>
    <w:rPr>
      <w:rFonts w:ascii="Times New Roman" w:hAnsi="Times New Roman" w:eastAsia="Times New Roman" w:cs="Times New Roman"/>
      <w:spacing w:val="0"/>
      <w:sz w:val="20"/>
      <w:szCs w:val="20"/>
      <w:shd w:val="clear" w:color="auto" w:fill="FFFFFF"/>
    </w:rPr>
  </w:style>
  <w:style w:type="character" w:customStyle="1" w:styleId="68">
    <w:name w:val="Основной текст (7)_"/>
    <w:basedOn w:val="22"/>
    <w:link w:val="69"/>
    <w:uiPriority w:val="99"/>
    <w:rPr>
      <w:sz w:val="21"/>
      <w:szCs w:val="21"/>
      <w:shd w:val="clear" w:color="auto" w:fill="FFFFFF"/>
    </w:rPr>
  </w:style>
  <w:style w:type="paragraph" w:customStyle="1" w:styleId="69">
    <w:name w:val="Основной текст (7)"/>
    <w:basedOn w:val="1"/>
    <w:link w:val="68"/>
    <w:uiPriority w:val="99"/>
    <w:pPr>
      <w:shd w:val="clear" w:color="auto" w:fill="FFFFFF"/>
      <w:suppressAutoHyphens w:val="0"/>
      <w:autoSpaceDN/>
      <w:spacing w:line="0" w:lineRule="atLeast"/>
      <w:ind w:hanging="280"/>
      <w:textAlignment w:val="auto"/>
    </w:pPr>
    <w:rPr>
      <w:rFonts w:ascii="Calibri" w:hAnsi="Calibri" w:eastAsia="Calibri"/>
      <w:sz w:val="21"/>
      <w:szCs w:val="21"/>
      <w:lang w:eastAsia="en-US"/>
    </w:rPr>
  </w:style>
  <w:style w:type="character" w:customStyle="1" w:styleId="70">
    <w:name w:val="Основной текст (8)_"/>
    <w:basedOn w:val="22"/>
    <w:uiPriority w:val="99"/>
    <w:rPr>
      <w:rFonts w:ascii="Times New Roman" w:hAnsi="Times New Roman" w:eastAsia="Times New Roman" w:cs="Times New Roman"/>
      <w:spacing w:val="0"/>
      <w:sz w:val="24"/>
      <w:szCs w:val="24"/>
    </w:rPr>
  </w:style>
  <w:style w:type="character" w:customStyle="1" w:styleId="71">
    <w:name w:val="Основной текст (8)"/>
    <w:basedOn w:val="70"/>
    <w:uiPriority w:val="0"/>
    <w:rPr>
      <w:rFonts w:ascii="Times New Roman" w:hAnsi="Times New Roman" w:eastAsia="Times New Roman" w:cs="Times New Roman"/>
      <w:spacing w:val="0"/>
      <w:sz w:val="24"/>
      <w:szCs w:val="24"/>
    </w:rPr>
  </w:style>
  <w:style w:type="character" w:customStyle="1" w:styleId="72">
    <w:name w:val="Основной текст4"/>
    <w:basedOn w:val="46"/>
    <w:uiPriority w:val="0"/>
    <w:rPr>
      <w:rFonts w:ascii="Times New Roman" w:hAnsi="Times New Roman" w:eastAsia="Times New Roman" w:cs="Times New Roman"/>
      <w:spacing w:val="0"/>
      <w:sz w:val="20"/>
      <w:szCs w:val="20"/>
      <w:shd w:val="clear" w:color="auto" w:fill="FFFFFF"/>
    </w:rPr>
  </w:style>
  <w:style w:type="character" w:customStyle="1" w:styleId="73">
    <w:name w:val="Основной текст (7) + Интервал 1 pt"/>
    <w:basedOn w:val="68"/>
    <w:uiPriority w:val="0"/>
    <w:rPr>
      <w:rFonts w:ascii="Times New Roman" w:hAnsi="Times New Roman" w:eastAsia="Times New Roman" w:cs="Times New Roman"/>
      <w:spacing w:val="30"/>
      <w:sz w:val="21"/>
      <w:szCs w:val="21"/>
      <w:shd w:val="clear" w:color="auto" w:fill="FFFFFF"/>
    </w:rPr>
  </w:style>
  <w:style w:type="character" w:customStyle="1" w:styleId="74">
    <w:name w:val="Основной текст Знак"/>
    <w:basedOn w:val="22"/>
    <w:link w:val="15"/>
    <w:uiPriority w:val="99"/>
    <w:rPr>
      <w:rFonts w:ascii="Times New Roman" w:hAnsi="Times New Roman" w:eastAsia="Arial Unicode MS"/>
      <w:sz w:val="19"/>
      <w:szCs w:val="19"/>
      <w:shd w:val="clear" w:color="auto" w:fill="FFFFFF"/>
      <w:lang w:eastAsia="ru-RU"/>
    </w:rPr>
  </w:style>
  <w:style w:type="paragraph" w:customStyle="1" w:styleId="75">
    <w:name w:val="Основной текст (3)1"/>
    <w:basedOn w:val="1"/>
    <w:uiPriority w:val="99"/>
    <w:pPr>
      <w:shd w:val="clear" w:color="auto" w:fill="FFFFFF"/>
      <w:suppressAutoHyphens w:val="0"/>
      <w:autoSpaceDN/>
      <w:spacing w:line="240" w:lineRule="atLeast"/>
      <w:jc w:val="both"/>
      <w:textAlignment w:val="auto"/>
    </w:pPr>
    <w:rPr>
      <w:rFonts w:eastAsia="Arial Unicode MS"/>
      <w:sz w:val="21"/>
      <w:szCs w:val="21"/>
    </w:rPr>
  </w:style>
  <w:style w:type="character" w:customStyle="1" w:styleId="76">
    <w:name w:val="Заголовок №1 (2)_"/>
    <w:basedOn w:val="22"/>
    <w:link w:val="77"/>
    <w:locked/>
    <w:uiPriority w:val="99"/>
    <w:rPr>
      <w:sz w:val="23"/>
      <w:szCs w:val="23"/>
      <w:shd w:val="clear" w:color="auto" w:fill="FFFFFF"/>
    </w:rPr>
  </w:style>
  <w:style w:type="paragraph" w:customStyle="1" w:styleId="77">
    <w:name w:val="Заголовок №1 (2)"/>
    <w:basedOn w:val="1"/>
    <w:link w:val="76"/>
    <w:uiPriority w:val="99"/>
    <w:pPr>
      <w:shd w:val="clear" w:color="auto" w:fill="FFFFFF"/>
      <w:suppressAutoHyphens w:val="0"/>
      <w:autoSpaceDN/>
      <w:spacing w:before="60" w:after="300" w:line="288" w:lineRule="exact"/>
      <w:ind w:firstLine="1180"/>
      <w:textAlignment w:val="auto"/>
      <w:outlineLvl w:val="0"/>
    </w:pPr>
    <w:rPr>
      <w:rFonts w:ascii="Calibri" w:hAnsi="Calibri" w:eastAsia="Calibri"/>
      <w:sz w:val="23"/>
      <w:szCs w:val="23"/>
      <w:lang w:eastAsia="en-US"/>
    </w:rPr>
  </w:style>
  <w:style w:type="character" w:customStyle="1" w:styleId="78">
    <w:name w:val="Заголовок №1 (2) + 13"/>
    <w:basedOn w:val="76"/>
    <w:uiPriority w:val="99"/>
    <w:rPr>
      <w:sz w:val="27"/>
      <w:szCs w:val="27"/>
      <w:shd w:val="clear" w:color="auto" w:fill="FFFFFF"/>
    </w:rPr>
  </w:style>
  <w:style w:type="character" w:customStyle="1" w:styleId="79">
    <w:name w:val="Заголовок №1 (3)_"/>
    <w:basedOn w:val="22"/>
    <w:link w:val="80"/>
    <w:locked/>
    <w:uiPriority w:val="99"/>
    <w:rPr>
      <w:sz w:val="27"/>
      <w:szCs w:val="27"/>
      <w:shd w:val="clear" w:color="auto" w:fill="FFFFFF"/>
    </w:rPr>
  </w:style>
  <w:style w:type="paragraph" w:customStyle="1" w:styleId="80">
    <w:name w:val="Заголовок №1 (3)1"/>
    <w:basedOn w:val="1"/>
    <w:link w:val="79"/>
    <w:uiPriority w:val="99"/>
    <w:pPr>
      <w:shd w:val="clear" w:color="auto" w:fill="FFFFFF"/>
      <w:suppressAutoHyphens w:val="0"/>
      <w:autoSpaceDN/>
      <w:spacing w:after="300" w:line="240" w:lineRule="atLeast"/>
      <w:textAlignment w:val="auto"/>
      <w:outlineLvl w:val="0"/>
    </w:pPr>
    <w:rPr>
      <w:rFonts w:ascii="Calibri" w:hAnsi="Calibri" w:eastAsia="Calibri"/>
      <w:sz w:val="27"/>
      <w:szCs w:val="27"/>
      <w:lang w:eastAsia="en-US"/>
    </w:rPr>
  </w:style>
  <w:style w:type="character" w:customStyle="1" w:styleId="81">
    <w:name w:val="Заголовок №1 (3)"/>
    <w:basedOn w:val="79"/>
    <w:uiPriority w:val="99"/>
    <w:rPr>
      <w:sz w:val="27"/>
      <w:szCs w:val="27"/>
      <w:shd w:val="clear" w:color="auto" w:fill="FFFFFF"/>
    </w:rPr>
  </w:style>
  <w:style w:type="paragraph" w:customStyle="1" w:styleId="82">
    <w:name w:val="Основной текст (7)1"/>
    <w:basedOn w:val="1"/>
    <w:uiPriority w:val="99"/>
    <w:pPr>
      <w:shd w:val="clear" w:color="auto" w:fill="FFFFFF"/>
      <w:suppressAutoHyphens w:val="0"/>
      <w:autoSpaceDN/>
      <w:spacing w:before="300" w:after="300" w:line="254" w:lineRule="exact"/>
      <w:textAlignment w:val="auto"/>
    </w:pPr>
    <w:rPr>
      <w:rFonts w:eastAsia="Arial Unicode MS"/>
      <w:sz w:val="23"/>
      <w:szCs w:val="23"/>
    </w:rPr>
  </w:style>
  <w:style w:type="character" w:customStyle="1" w:styleId="83">
    <w:name w:val="Основной текст (3)2"/>
    <w:basedOn w:val="48"/>
    <w:uiPriority w:val="99"/>
    <w:rPr>
      <w:rFonts w:ascii="Times New Roman" w:hAnsi="Times New Roman" w:eastAsia="Candara" w:cs="Times New Roman"/>
      <w:spacing w:val="0"/>
      <w:sz w:val="21"/>
      <w:szCs w:val="21"/>
      <w:shd w:val="clear" w:color="auto" w:fill="FFFFFF"/>
    </w:rPr>
  </w:style>
  <w:style w:type="character" w:customStyle="1" w:styleId="84">
    <w:name w:val="Заголовок №1 (4)_"/>
    <w:basedOn w:val="22"/>
    <w:link w:val="85"/>
    <w:locked/>
    <w:uiPriority w:val="99"/>
    <w:rPr>
      <w:b/>
      <w:bCs/>
      <w:sz w:val="28"/>
      <w:szCs w:val="28"/>
      <w:shd w:val="clear" w:color="auto" w:fill="FFFFFF"/>
    </w:rPr>
  </w:style>
  <w:style w:type="paragraph" w:customStyle="1" w:styleId="85">
    <w:name w:val="Заголовок №1 (4)"/>
    <w:basedOn w:val="1"/>
    <w:link w:val="84"/>
    <w:uiPriority w:val="99"/>
    <w:pPr>
      <w:shd w:val="clear" w:color="auto" w:fill="FFFFFF"/>
      <w:suppressAutoHyphens w:val="0"/>
      <w:autoSpaceDN/>
      <w:spacing w:before="240" w:after="240" w:line="240" w:lineRule="atLeast"/>
      <w:textAlignment w:val="auto"/>
      <w:outlineLvl w:val="0"/>
    </w:pPr>
    <w:rPr>
      <w:rFonts w:ascii="Calibri" w:hAnsi="Calibri" w:eastAsia="Calibri"/>
      <w:b/>
      <w:bCs/>
      <w:sz w:val="28"/>
      <w:szCs w:val="28"/>
      <w:lang w:eastAsia="en-US"/>
    </w:rPr>
  </w:style>
  <w:style w:type="paragraph" w:customStyle="1" w:styleId="86">
    <w:name w:val="List Paragraph"/>
    <w:basedOn w:val="1"/>
    <w:qFormat/>
    <w:uiPriority w:val="34"/>
    <w:pPr>
      <w:suppressAutoHyphens w:val="0"/>
      <w:autoSpaceDN/>
      <w:ind w:left="720"/>
      <w:contextualSpacing/>
      <w:textAlignment w:val="auto"/>
    </w:pPr>
    <w:rPr>
      <w:sz w:val="20"/>
      <w:szCs w:val="20"/>
    </w:rPr>
  </w:style>
  <w:style w:type="paragraph" w:customStyle="1" w:styleId="87">
    <w:name w:val="No Spacing"/>
    <w:qFormat/>
    <w:uiPriority w:val="1"/>
    <w:pPr>
      <w:autoSpaceDN/>
      <w:spacing w:after="0" w:line="240" w:lineRule="auto"/>
      <w:textAlignment w:val="auto"/>
    </w:pPr>
    <w:rPr>
      <w:rFonts w:ascii="Times New Roman" w:hAnsi="Times New Roman" w:eastAsia="Times New Roman" w:cs="Times New Roman"/>
      <w:sz w:val="20"/>
      <w:szCs w:val="20"/>
      <w:lang w:val="ru-RU" w:eastAsia="ru-RU" w:bidi="ar-SA"/>
    </w:rPr>
  </w:style>
  <w:style w:type="character" w:customStyle="1" w:styleId="88">
    <w:name w:val="Подзаголовок Знак"/>
    <w:basedOn w:val="22"/>
    <w:link w:val="21"/>
    <w:uiPriority w:val="0"/>
    <w:rPr>
      <w:rFonts w:ascii="Times New Roman" w:hAnsi="Times New Roman" w:eastAsia="Times New Roman"/>
      <w:sz w:val="28"/>
      <w:szCs w:val="24"/>
      <w:u w:val="single"/>
      <w:lang w:eastAsia="ru-RU"/>
    </w:rPr>
  </w:style>
  <w:style w:type="character" w:customStyle="1" w:styleId="89">
    <w:name w:val="Основной текст 2 Знак"/>
    <w:basedOn w:val="22"/>
    <w:link w:val="12"/>
    <w:uiPriority w:val="0"/>
    <w:rPr>
      <w:rFonts w:ascii="Times New Roman" w:hAnsi="Times New Roman" w:eastAsia="Times New Roman"/>
      <w:b/>
      <w:bCs/>
      <w:sz w:val="28"/>
      <w:szCs w:val="24"/>
      <w:lang w:eastAsia="ru-RU"/>
    </w:rPr>
  </w:style>
  <w:style w:type="character" w:customStyle="1" w:styleId="90">
    <w:name w:val="Основной текст 3 Знак"/>
    <w:basedOn w:val="22"/>
    <w:link w:val="20"/>
    <w:uiPriority w:val="0"/>
    <w:rPr>
      <w:rFonts w:ascii="Times New Roman" w:hAnsi="Times New Roman" w:eastAsia="Times New Roman"/>
      <w:b/>
      <w:bCs/>
      <w:szCs w:val="24"/>
      <w:lang w:eastAsia="ru-RU"/>
    </w:rPr>
  </w:style>
  <w:style w:type="character" w:customStyle="1" w:styleId="91">
    <w:name w:val="Основной текст с отступом Знак"/>
    <w:basedOn w:val="22"/>
    <w:link w:val="16"/>
    <w:uiPriority w:val="0"/>
    <w:rPr>
      <w:rFonts w:ascii="Times New Roman" w:hAnsi="Times New Roman" w:eastAsia="Times New Roman"/>
      <w:color w:val="000000"/>
      <w:sz w:val="28"/>
      <w:szCs w:val="24"/>
      <w:lang w:eastAsia="ru-RU"/>
    </w:rPr>
  </w:style>
  <w:style w:type="paragraph" w:customStyle="1" w:styleId="92">
    <w:name w:val="font5"/>
    <w:basedOn w:val="1"/>
    <w:uiPriority w:val="0"/>
    <w:pPr>
      <w:suppressAutoHyphens w:val="0"/>
      <w:autoSpaceDN/>
      <w:spacing w:before="100" w:beforeAutospacing="1" w:after="100" w:afterAutospacing="1"/>
      <w:textAlignment w:val="auto"/>
    </w:pPr>
    <w:rPr>
      <w:color w:val="000000"/>
      <w:sz w:val="22"/>
      <w:szCs w:val="22"/>
    </w:rPr>
  </w:style>
  <w:style w:type="paragraph" w:customStyle="1" w:styleId="93">
    <w:name w:val="font6"/>
    <w:basedOn w:val="1"/>
    <w:uiPriority w:val="0"/>
    <w:pPr>
      <w:suppressAutoHyphens w:val="0"/>
      <w:autoSpaceDN/>
      <w:spacing w:before="100" w:beforeAutospacing="1" w:after="100" w:afterAutospacing="1"/>
      <w:textAlignment w:val="auto"/>
    </w:pPr>
    <w:rPr>
      <w:color w:val="000000"/>
      <w:sz w:val="16"/>
      <w:szCs w:val="16"/>
    </w:rPr>
  </w:style>
  <w:style w:type="paragraph" w:customStyle="1" w:styleId="94">
    <w:name w:val="font7"/>
    <w:basedOn w:val="1"/>
    <w:uiPriority w:val="0"/>
    <w:pPr>
      <w:suppressAutoHyphens w:val="0"/>
      <w:autoSpaceDN/>
      <w:spacing w:before="100" w:beforeAutospacing="1" w:after="100" w:afterAutospacing="1"/>
      <w:textAlignment w:val="auto"/>
    </w:pPr>
    <w:rPr>
      <w:color w:val="000000"/>
      <w:sz w:val="20"/>
      <w:szCs w:val="20"/>
    </w:rPr>
  </w:style>
  <w:style w:type="paragraph" w:customStyle="1" w:styleId="95">
    <w:name w:val="font8"/>
    <w:basedOn w:val="1"/>
    <w:uiPriority w:val="0"/>
    <w:pPr>
      <w:suppressAutoHyphens w:val="0"/>
      <w:autoSpaceDN/>
      <w:spacing w:before="100" w:beforeAutospacing="1" w:after="100" w:afterAutospacing="1"/>
      <w:textAlignment w:val="auto"/>
    </w:pPr>
    <w:rPr>
      <w:color w:val="000000"/>
    </w:rPr>
  </w:style>
  <w:style w:type="paragraph" w:customStyle="1" w:styleId="96">
    <w:name w:val="font9"/>
    <w:basedOn w:val="1"/>
    <w:uiPriority w:val="0"/>
    <w:pPr>
      <w:suppressAutoHyphens w:val="0"/>
      <w:autoSpaceDN/>
      <w:spacing w:before="100" w:beforeAutospacing="1" w:after="100" w:afterAutospacing="1"/>
      <w:textAlignment w:val="auto"/>
    </w:pPr>
    <w:rPr>
      <w:color w:val="FF0000"/>
      <w:sz w:val="16"/>
      <w:szCs w:val="16"/>
    </w:rPr>
  </w:style>
  <w:style w:type="paragraph" w:customStyle="1" w:styleId="97">
    <w:name w:val="font10"/>
    <w:basedOn w:val="1"/>
    <w:uiPriority w:val="0"/>
    <w:pPr>
      <w:suppressAutoHyphens w:val="0"/>
      <w:autoSpaceDN/>
      <w:spacing w:before="100" w:beforeAutospacing="1" w:after="100" w:afterAutospacing="1"/>
      <w:textAlignment w:val="auto"/>
    </w:pPr>
    <w:rPr>
      <w:sz w:val="16"/>
      <w:szCs w:val="16"/>
    </w:rPr>
  </w:style>
  <w:style w:type="paragraph" w:customStyle="1" w:styleId="98">
    <w:name w:val="font11"/>
    <w:basedOn w:val="1"/>
    <w:uiPriority w:val="0"/>
    <w:pPr>
      <w:suppressAutoHyphens w:val="0"/>
      <w:autoSpaceDN/>
      <w:spacing w:before="100" w:beforeAutospacing="1" w:after="100" w:afterAutospacing="1"/>
      <w:textAlignment w:val="auto"/>
    </w:pPr>
    <w:rPr>
      <w:i/>
      <w:iCs/>
      <w:color w:val="000000"/>
      <w:sz w:val="16"/>
      <w:szCs w:val="16"/>
    </w:rPr>
  </w:style>
  <w:style w:type="paragraph" w:customStyle="1" w:styleId="99">
    <w:name w:val="xl65"/>
    <w:basedOn w:val="1"/>
    <w:uiPriority w:val="0"/>
    <w:pPr>
      <w:suppressAutoHyphens w:val="0"/>
      <w:autoSpaceDN/>
      <w:spacing w:before="100" w:beforeAutospacing="1" w:after="100" w:afterAutospacing="1"/>
      <w:jc w:val="center"/>
      <w:textAlignment w:val="auto"/>
    </w:pPr>
  </w:style>
  <w:style w:type="paragraph" w:customStyle="1" w:styleId="100">
    <w:name w:val="xl66"/>
    <w:basedOn w:val="1"/>
    <w:uiPriority w:val="0"/>
    <w:pPr>
      <w:suppressAutoHyphens w:val="0"/>
      <w:autoSpaceDN/>
      <w:spacing w:before="100" w:beforeAutospacing="1" w:after="100" w:afterAutospacing="1"/>
      <w:jc w:val="center"/>
      <w:textAlignment w:val="center"/>
    </w:pPr>
  </w:style>
  <w:style w:type="paragraph" w:customStyle="1" w:styleId="101">
    <w:name w:val="xl67"/>
    <w:basedOn w:val="1"/>
    <w:uiPriority w:val="0"/>
    <w:pPr>
      <w:suppressAutoHyphens w:val="0"/>
      <w:autoSpaceDN/>
      <w:spacing w:before="100" w:beforeAutospacing="1" w:after="100" w:afterAutospacing="1"/>
      <w:textAlignment w:val="auto"/>
    </w:pPr>
  </w:style>
  <w:style w:type="paragraph" w:customStyle="1" w:styleId="102">
    <w:name w:val="xl68"/>
    <w:basedOn w:val="1"/>
    <w:uiPriority w:val="0"/>
    <w:pPr>
      <w:suppressAutoHyphens w:val="0"/>
      <w:autoSpaceDN/>
      <w:spacing w:before="100" w:beforeAutospacing="1" w:after="100" w:afterAutospacing="1"/>
      <w:jc w:val="center"/>
      <w:textAlignment w:val="auto"/>
    </w:pPr>
  </w:style>
  <w:style w:type="paragraph" w:customStyle="1" w:styleId="103">
    <w:name w:val="xl69"/>
    <w:basedOn w:val="1"/>
    <w:uiPriority w:val="0"/>
    <w:pPr>
      <w:suppressAutoHyphens w:val="0"/>
      <w:autoSpaceDN/>
      <w:spacing w:before="100" w:beforeAutospacing="1" w:after="100" w:afterAutospacing="1"/>
      <w:jc w:val="center"/>
      <w:textAlignment w:val="center"/>
    </w:pPr>
  </w:style>
  <w:style w:type="paragraph" w:customStyle="1" w:styleId="104">
    <w:name w:val="xl70"/>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05">
    <w:name w:val="xl71"/>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textAlignment w:val="center"/>
    </w:pPr>
    <w:rPr>
      <w:sz w:val="16"/>
      <w:szCs w:val="16"/>
    </w:rPr>
  </w:style>
  <w:style w:type="paragraph" w:customStyle="1" w:styleId="106">
    <w:name w:val="xl72"/>
    <w:basedOn w:val="1"/>
    <w:uiPriority w:val="0"/>
    <w:pPr>
      <w:pBdr>
        <w:top w:val="single" w:color="auto" w:sz="4" w:space="0"/>
        <w:left w:val="single" w:color="auto" w:sz="4" w:space="0"/>
        <w:right w:val="single" w:color="auto" w:sz="4" w:space="0"/>
      </w:pBdr>
      <w:suppressAutoHyphens w:val="0"/>
      <w:autoSpaceDN/>
      <w:spacing w:before="100" w:beforeAutospacing="1" w:after="100" w:afterAutospacing="1"/>
      <w:jc w:val="center"/>
      <w:textAlignment w:val="auto"/>
    </w:pPr>
  </w:style>
  <w:style w:type="paragraph" w:customStyle="1" w:styleId="107">
    <w:name w:val="xl73"/>
    <w:basedOn w:val="1"/>
    <w:uiPriority w:val="0"/>
    <w:pPr>
      <w:pBdr>
        <w:left w:val="single" w:color="auto" w:sz="4" w:space="0"/>
        <w:right w:val="single" w:color="auto" w:sz="4" w:space="0"/>
      </w:pBdr>
      <w:suppressAutoHyphens w:val="0"/>
      <w:autoSpaceDN/>
      <w:spacing w:before="100" w:beforeAutospacing="1" w:after="100" w:afterAutospacing="1"/>
      <w:jc w:val="center"/>
      <w:textAlignment w:val="auto"/>
    </w:pPr>
  </w:style>
  <w:style w:type="paragraph" w:customStyle="1" w:styleId="108">
    <w:name w:val="xl74"/>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09">
    <w:name w:val="xl75"/>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rPr>
      <w:color w:val="FF0000"/>
    </w:rPr>
  </w:style>
  <w:style w:type="paragraph" w:customStyle="1" w:styleId="110">
    <w:name w:val="xl76"/>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rPr>
      <w:sz w:val="16"/>
      <w:szCs w:val="16"/>
    </w:rPr>
  </w:style>
  <w:style w:type="paragraph" w:customStyle="1" w:styleId="111">
    <w:name w:val="xl77"/>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textAlignment w:val="center"/>
    </w:pPr>
    <w:rPr>
      <w:sz w:val="16"/>
      <w:szCs w:val="16"/>
    </w:rPr>
  </w:style>
  <w:style w:type="paragraph" w:customStyle="1" w:styleId="112">
    <w:name w:val="xl78"/>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textAlignment w:val="auto"/>
    </w:pPr>
    <w:rPr>
      <w:sz w:val="16"/>
      <w:szCs w:val="16"/>
    </w:rPr>
  </w:style>
  <w:style w:type="paragraph" w:customStyle="1" w:styleId="113">
    <w:name w:val="xl79"/>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textAlignment w:val="auto"/>
    </w:pPr>
    <w:rPr>
      <w:sz w:val="16"/>
      <w:szCs w:val="16"/>
    </w:rPr>
  </w:style>
  <w:style w:type="paragraph" w:customStyle="1" w:styleId="114">
    <w:name w:val="xl80"/>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textAlignment w:val="center"/>
    </w:pPr>
    <w:rPr>
      <w:sz w:val="16"/>
      <w:szCs w:val="16"/>
    </w:rPr>
  </w:style>
  <w:style w:type="paragraph" w:customStyle="1" w:styleId="115">
    <w:name w:val="xl81"/>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textAlignment w:val="center"/>
    </w:pPr>
    <w:rPr>
      <w:color w:val="FF0000"/>
      <w:sz w:val="16"/>
      <w:szCs w:val="16"/>
    </w:rPr>
  </w:style>
  <w:style w:type="paragraph" w:customStyle="1" w:styleId="116">
    <w:name w:val="xl82"/>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rPr>
      <w:sz w:val="20"/>
      <w:szCs w:val="20"/>
    </w:rPr>
  </w:style>
  <w:style w:type="paragraph" w:customStyle="1" w:styleId="117">
    <w:name w:val="xl83"/>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rPr>
      <w:sz w:val="20"/>
      <w:szCs w:val="20"/>
    </w:rPr>
  </w:style>
  <w:style w:type="paragraph" w:customStyle="1" w:styleId="118">
    <w:name w:val="xl84"/>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rPr>
      <w:sz w:val="20"/>
      <w:szCs w:val="20"/>
    </w:rPr>
  </w:style>
  <w:style w:type="paragraph" w:customStyle="1" w:styleId="119">
    <w:name w:val="xl85"/>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20">
    <w:name w:val="xl86"/>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textAlignment w:val="auto"/>
    </w:pPr>
    <w:rPr>
      <w:sz w:val="16"/>
      <w:szCs w:val="16"/>
    </w:rPr>
  </w:style>
  <w:style w:type="paragraph" w:customStyle="1" w:styleId="121">
    <w:name w:val="xl87"/>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rPr>
      <w:sz w:val="20"/>
      <w:szCs w:val="20"/>
    </w:rPr>
  </w:style>
  <w:style w:type="paragraph" w:customStyle="1" w:styleId="122">
    <w:name w:val="xl88"/>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23">
    <w:name w:val="xl89"/>
    <w:basedOn w:val="1"/>
    <w:uiPriority w:val="0"/>
    <w:pPr>
      <w:pBdr>
        <w:top w:val="single" w:color="auto" w:sz="4" w:space="0"/>
        <w:left w:val="single" w:color="auto" w:sz="4" w:space="0"/>
        <w:bottom w:val="single" w:color="auto" w:sz="4" w:space="0"/>
        <w:right w:val="single" w:color="auto" w:sz="4" w:space="0"/>
      </w:pBdr>
      <w:shd w:val="clear" w:color="000000" w:fill="FFFFFF"/>
      <w:suppressAutoHyphens w:val="0"/>
      <w:autoSpaceDN/>
      <w:spacing w:before="100" w:beforeAutospacing="1" w:after="100" w:afterAutospacing="1"/>
      <w:jc w:val="center"/>
      <w:textAlignment w:val="center"/>
    </w:pPr>
    <w:rPr>
      <w:color w:val="00B050"/>
    </w:rPr>
  </w:style>
  <w:style w:type="paragraph" w:customStyle="1" w:styleId="124">
    <w:name w:val="xl90"/>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rPr>
      <w:color w:val="00B050"/>
    </w:rPr>
  </w:style>
  <w:style w:type="paragraph" w:customStyle="1" w:styleId="125">
    <w:name w:val="xl91"/>
    <w:basedOn w:val="1"/>
    <w:uiPriority w:val="0"/>
    <w:pPr>
      <w:suppressAutoHyphens w:val="0"/>
      <w:autoSpaceDN/>
      <w:spacing w:before="100" w:beforeAutospacing="1" w:after="100" w:afterAutospacing="1"/>
      <w:jc w:val="center"/>
      <w:textAlignment w:val="center"/>
    </w:pPr>
    <w:rPr>
      <w:sz w:val="20"/>
      <w:szCs w:val="20"/>
    </w:rPr>
  </w:style>
  <w:style w:type="paragraph" w:customStyle="1" w:styleId="126">
    <w:name w:val="xl92"/>
    <w:basedOn w:val="1"/>
    <w:uiPriority w:val="0"/>
    <w:pPr>
      <w:suppressAutoHyphens w:val="0"/>
      <w:autoSpaceDN/>
      <w:spacing w:before="100" w:beforeAutospacing="1" w:after="100" w:afterAutospacing="1"/>
      <w:jc w:val="center"/>
      <w:textAlignment w:val="center"/>
    </w:pPr>
  </w:style>
  <w:style w:type="paragraph" w:customStyle="1" w:styleId="127">
    <w:name w:val="xl93"/>
    <w:basedOn w:val="1"/>
    <w:uiPriority w:val="0"/>
    <w:pPr>
      <w:suppressAutoHyphens w:val="0"/>
      <w:autoSpaceDN/>
      <w:spacing w:before="100" w:beforeAutospacing="1" w:after="100" w:afterAutospacing="1"/>
      <w:textAlignment w:val="center"/>
    </w:pPr>
  </w:style>
  <w:style w:type="paragraph" w:customStyle="1" w:styleId="128">
    <w:name w:val="xl94"/>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rPr>
      <w:sz w:val="20"/>
      <w:szCs w:val="20"/>
    </w:rPr>
  </w:style>
  <w:style w:type="paragraph" w:customStyle="1" w:styleId="129">
    <w:name w:val="xl95"/>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rPr>
      <w:i/>
      <w:iCs/>
    </w:rPr>
  </w:style>
  <w:style w:type="paragraph" w:customStyle="1" w:styleId="130">
    <w:name w:val="xl96"/>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textAlignment w:val="center"/>
    </w:pPr>
    <w:rPr>
      <w:i/>
      <w:iCs/>
      <w:sz w:val="16"/>
      <w:szCs w:val="16"/>
    </w:rPr>
  </w:style>
  <w:style w:type="paragraph" w:customStyle="1" w:styleId="131">
    <w:name w:val="xl97"/>
    <w:basedOn w:val="1"/>
    <w:uiPriority w:val="0"/>
    <w:pPr>
      <w:suppressAutoHyphens w:val="0"/>
      <w:autoSpaceDN/>
      <w:spacing w:before="100" w:beforeAutospacing="1" w:after="100" w:afterAutospacing="1"/>
      <w:jc w:val="center"/>
      <w:textAlignment w:val="center"/>
    </w:pPr>
  </w:style>
  <w:style w:type="paragraph" w:customStyle="1" w:styleId="132">
    <w:name w:val="xl98"/>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rPr>
      <w:i/>
      <w:iCs/>
      <w:sz w:val="16"/>
      <w:szCs w:val="16"/>
    </w:rPr>
  </w:style>
  <w:style w:type="paragraph" w:customStyle="1" w:styleId="133">
    <w:name w:val="xl99"/>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rPr>
      <w:i/>
      <w:iCs/>
    </w:rPr>
  </w:style>
  <w:style w:type="paragraph" w:customStyle="1" w:styleId="134">
    <w:name w:val="xl100"/>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rPr>
      <w:i/>
      <w:iCs/>
      <w:sz w:val="20"/>
      <w:szCs w:val="20"/>
    </w:rPr>
  </w:style>
  <w:style w:type="paragraph" w:customStyle="1" w:styleId="135">
    <w:name w:val="xl101"/>
    <w:basedOn w:val="1"/>
    <w:uiPriority w:val="0"/>
    <w:pPr>
      <w:suppressAutoHyphens w:val="0"/>
      <w:autoSpaceDN/>
      <w:spacing w:before="100" w:beforeAutospacing="1" w:after="100" w:afterAutospacing="1"/>
      <w:textAlignment w:val="auto"/>
    </w:pPr>
    <w:rPr>
      <w:sz w:val="16"/>
      <w:szCs w:val="16"/>
    </w:rPr>
  </w:style>
  <w:style w:type="paragraph" w:customStyle="1" w:styleId="136">
    <w:name w:val="xl102"/>
    <w:basedOn w:val="1"/>
    <w:uiPriority w:val="0"/>
    <w:pPr>
      <w:suppressAutoHyphens w:val="0"/>
      <w:autoSpaceDN/>
      <w:spacing w:before="100" w:beforeAutospacing="1" w:after="100" w:afterAutospacing="1"/>
      <w:jc w:val="center"/>
      <w:textAlignment w:val="center"/>
    </w:pPr>
    <w:rPr>
      <w:sz w:val="20"/>
      <w:szCs w:val="20"/>
    </w:rPr>
  </w:style>
  <w:style w:type="paragraph" w:customStyle="1" w:styleId="137">
    <w:name w:val="xl103"/>
    <w:basedOn w:val="1"/>
    <w:uiPriority w:val="0"/>
    <w:pPr>
      <w:suppressAutoHyphens w:val="0"/>
      <w:autoSpaceDN/>
      <w:spacing w:before="100" w:beforeAutospacing="1" w:after="100" w:afterAutospacing="1"/>
      <w:jc w:val="center"/>
      <w:textAlignment w:val="center"/>
    </w:pPr>
  </w:style>
  <w:style w:type="paragraph" w:customStyle="1" w:styleId="138">
    <w:name w:val="xl104"/>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39">
    <w:name w:val="xl105"/>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40">
    <w:name w:val="xl106"/>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textAlignment w:val="center"/>
    </w:pPr>
    <w:rPr>
      <w:sz w:val="16"/>
      <w:szCs w:val="16"/>
    </w:rPr>
  </w:style>
  <w:style w:type="paragraph" w:customStyle="1" w:styleId="141">
    <w:name w:val="xl107"/>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42">
    <w:name w:val="xl108"/>
    <w:basedOn w:val="1"/>
    <w:uiPriority w:val="0"/>
    <w:pPr>
      <w:pBdr>
        <w:left w:val="single" w:color="auto" w:sz="4" w:space="0"/>
        <w:bottom w:val="single" w:color="auto" w:sz="4" w:space="0"/>
        <w:right w:val="single" w:color="auto" w:sz="4" w:space="0"/>
      </w:pBdr>
      <w:suppressAutoHyphens w:val="0"/>
      <w:autoSpaceDN/>
      <w:spacing w:before="100" w:beforeAutospacing="1" w:after="100" w:afterAutospacing="1"/>
      <w:jc w:val="center"/>
      <w:textAlignment w:val="auto"/>
    </w:pPr>
  </w:style>
  <w:style w:type="paragraph" w:customStyle="1" w:styleId="143">
    <w:name w:val="xl109"/>
    <w:basedOn w:val="1"/>
    <w:uiPriority w:val="0"/>
    <w:pPr>
      <w:pBdr>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rPr>
      <w:sz w:val="20"/>
      <w:szCs w:val="20"/>
    </w:rPr>
  </w:style>
  <w:style w:type="paragraph" w:customStyle="1" w:styleId="144">
    <w:name w:val="xl110"/>
    <w:basedOn w:val="1"/>
    <w:uiPriority w:val="0"/>
    <w:pPr>
      <w:suppressAutoHyphens w:val="0"/>
      <w:autoSpaceDN/>
      <w:spacing w:before="100" w:beforeAutospacing="1" w:after="100" w:afterAutospacing="1"/>
      <w:textAlignment w:val="auto"/>
    </w:pPr>
  </w:style>
  <w:style w:type="paragraph" w:customStyle="1" w:styleId="145">
    <w:name w:val="xl111"/>
    <w:basedOn w:val="1"/>
    <w:uiPriority w:val="0"/>
    <w:pPr>
      <w:pBdr>
        <w:top w:val="single" w:color="auto" w:sz="4" w:space="0"/>
        <w:left w:val="single" w:color="auto" w:sz="4" w:space="0"/>
        <w:right w:val="single" w:color="auto" w:sz="4" w:space="0"/>
      </w:pBdr>
      <w:suppressAutoHyphens w:val="0"/>
      <w:autoSpaceDN/>
      <w:spacing w:before="100" w:beforeAutospacing="1" w:after="100" w:afterAutospacing="1"/>
      <w:jc w:val="center"/>
      <w:textAlignment w:val="auto"/>
    </w:pPr>
  </w:style>
  <w:style w:type="paragraph" w:customStyle="1" w:styleId="146">
    <w:name w:val="xl112"/>
    <w:basedOn w:val="1"/>
    <w:uiPriority w:val="0"/>
    <w:pPr>
      <w:pBdr>
        <w:left w:val="single" w:color="auto" w:sz="4" w:space="0"/>
        <w:right w:val="single" w:color="auto" w:sz="4" w:space="0"/>
      </w:pBdr>
      <w:suppressAutoHyphens w:val="0"/>
      <w:autoSpaceDN/>
      <w:spacing w:before="100" w:beforeAutospacing="1" w:after="100" w:afterAutospacing="1"/>
      <w:jc w:val="center"/>
      <w:textAlignment w:val="auto"/>
    </w:pPr>
  </w:style>
  <w:style w:type="paragraph" w:customStyle="1" w:styleId="147">
    <w:name w:val="xl113"/>
    <w:basedOn w:val="1"/>
    <w:uiPriority w:val="0"/>
    <w:pPr>
      <w:pBdr>
        <w:left w:val="single" w:color="auto" w:sz="4" w:space="0"/>
        <w:bottom w:val="single" w:color="auto" w:sz="4" w:space="0"/>
        <w:right w:val="single" w:color="auto" w:sz="4" w:space="0"/>
      </w:pBdr>
      <w:suppressAutoHyphens w:val="0"/>
      <w:autoSpaceDN/>
      <w:spacing w:before="100" w:beforeAutospacing="1" w:after="100" w:afterAutospacing="1"/>
      <w:jc w:val="center"/>
      <w:textAlignment w:val="auto"/>
    </w:pPr>
  </w:style>
  <w:style w:type="paragraph" w:customStyle="1" w:styleId="148">
    <w:name w:val="xl114"/>
    <w:basedOn w:val="1"/>
    <w:uiPriority w:val="0"/>
    <w:pPr>
      <w:pBdr>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49">
    <w:name w:val="xl115"/>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50">
    <w:name w:val="xl116"/>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51">
    <w:name w:val="xl117"/>
    <w:basedOn w:val="1"/>
    <w:uiPriority w:val="0"/>
    <w:pPr>
      <w:suppressAutoHyphens w:val="0"/>
      <w:autoSpaceDN/>
      <w:spacing w:before="100" w:beforeAutospacing="1" w:after="100" w:afterAutospacing="1"/>
      <w:textAlignment w:val="auto"/>
    </w:pPr>
  </w:style>
  <w:style w:type="paragraph" w:customStyle="1" w:styleId="152">
    <w:name w:val="xl118"/>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rPr>
      <w:sz w:val="16"/>
      <w:szCs w:val="16"/>
    </w:rPr>
  </w:style>
  <w:style w:type="paragraph" w:customStyle="1" w:styleId="153">
    <w:name w:val="xl119"/>
    <w:basedOn w:val="1"/>
    <w:uiPriority w:val="0"/>
    <w:pPr>
      <w:suppressAutoHyphens w:val="0"/>
      <w:autoSpaceDN/>
      <w:spacing w:before="100" w:beforeAutospacing="1" w:after="100" w:afterAutospacing="1"/>
      <w:textAlignment w:val="center"/>
    </w:pPr>
    <w:rPr>
      <w:b/>
      <w:bCs/>
      <w:sz w:val="20"/>
      <w:szCs w:val="20"/>
    </w:rPr>
  </w:style>
  <w:style w:type="paragraph" w:customStyle="1" w:styleId="154">
    <w:name w:val="xl120"/>
    <w:basedOn w:val="1"/>
    <w:uiPriority w:val="0"/>
    <w:pPr>
      <w:suppressAutoHyphens w:val="0"/>
      <w:autoSpaceDN/>
      <w:spacing w:before="100" w:beforeAutospacing="1" w:after="100" w:afterAutospacing="1"/>
      <w:textAlignment w:val="auto"/>
    </w:pPr>
  </w:style>
  <w:style w:type="paragraph" w:customStyle="1" w:styleId="155">
    <w:name w:val="xl121"/>
    <w:basedOn w:val="1"/>
    <w:uiPriority w:val="0"/>
    <w:pPr>
      <w:pBdr>
        <w:top w:val="single" w:color="auto" w:sz="4" w:space="0"/>
      </w:pBdr>
      <w:suppressAutoHyphens w:val="0"/>
      <w:autoSpaceDN/>
      <w:spacing w:before="100" w:beforeAutospacing="1" w:after="100" w:afterAutospacing="1"/>
      <w:jc w:val="center"/>
      <w:textAlignment w:val="auto"/>
    </w:pPr>
  </w:style>
  <w:style w:type="paragraph" w:customStyle="1" w:styleId="156">
    <w:name w:val="xl122"/>
    <w:basedOn w:val="1"/>
    <w:uiPriority w:val="0"/>
    <w:pPr>
      <w:suppressAutoHyphens w:val="0"/>
      <w:autoSpaceDN/>
      <w:spacing w:before="100" w:beforeAutospacing="1" w:after="100" w:afterAutospacing="1"/>
      <w:jc w:val="center"/>
      <w:textAlignment w:val="auto"/>
    </w:pPr>
  </w:style>
  <w:style w:type="paragraph" w:customStyle="1" w:styleId="157">
    <w:name w:val="xl123"/>
    <w:basedOn w:val="1"/>
    <w:uiPriority w:val="0"/>
    <w:pPr>
      <w:pBdr>
        <w:bottom w:val="single" w:color="auto" w:sz="4" w:space="0"/>
      </w:pBdr>
      <w:suppressAutoHyphens w:val="0"/>
      <w:autoSpaceDN/>
      <w:spacing w:before="100" w:beforeAutospacing="1" w:after="100" w:afterAutospacing="1"/>
      <w:jc w:val="center"/>
      <w:textAlignment w:val="auto"/>
    </w:pPr>
  </w:style>
  <w:style w:type="paragraph" w:customStyle="1" w:styleId="158">
    <w:name w:val="xl124"/>
    <w:basedOn w:val="1"/>
    <w:uiPriority w:val="0"/>
    <w:pPr>
      <w:suppressAutoHyphens w:val="0"/>
      <w:autoSpaceDN/>
      <w:spacing w:before="100" w:beforeAutospacing="1" w:after="100" w:afterAutospacing="1"/>
      <w:textAlignment w:val="center"/>
    </w:pPr>
    <w:rPr>
      <w:b/>
      <w:bCs/>
    </w:rPr>
  </w:style>
  <w:style w:type="paragraph" w:customStyle="1" w:styleId="159">
    <w:name w:val="xl125"/>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60">
    <w:name w:val="xl126"/>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61">
    <w:name w:val="xl127"/>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62">
    <w:name w:val="xl128"/>
    <w:basedOn w:val="1"/>
    <w:uiPriority w:val="0"/>
    <w:pPr>
      <w:suppressAutoHyphens w:val="0"/>
      <w:autoSpaceDN/>
      <w:spacing w:before="100" w:beforeAutospacing="1" w:after="100" w:afterAutospacing="1"/>
      <w:jc w:val="center"/>
      <w:textAlignment w:val="center"/>
    </w:pPr>
  </w:style>
  <w:style w:type="paragraph" w:customStyle="1" w:styleId="163">
    <w:name w:val="xl129"/>
    <w:basedOn w:val="1"/>
    <w:uiPriority w:val="0"/>
    <w:pPr>
      <w:pBdr>
        <w:top w:val="single" w:color="auto" w:sz="4" w:space="0"/>
        <w:left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64">
    <w:name w:val="xl130"/>
    <w:basedOn w:val="1"/>
    <w:uiPriority w:val="0"/>
    <w:pPr>
      <w:pBdr>
        <w:left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65">
    <w:name w:val="xl131"/>
    <w:basedOn w:val="1"/>
    <w:uiPriority w:val="0"/>
    <w:pPr>
      <w:pBdr>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66">
    <w:name w:val="xl132"/>
    <w:basedOn w:val="1"/>
    <w:uiPriority w:val="0"/>
    <w:pPr>
      <w:suppressAutoHyphens w:val="0"/>
      <w:autoSpaceDN/>
      <w:spacing w:before="100" w:beforeAutospacing="1" w:after="100" w:afterAutospacing="1"/>
      <w:textAlignment w:val="center"/>
    </w:pPr>
    <w:rPr>
      <w:b/>
      <w:bCs/>
    </w:rPr>
  </w:style>
  <w:style w:type="paragraph" w:customStyle="1" w:styleId="167">
    <w:name w:val="xl133"/>
    <w:basedOn w:val="1"/>
    <w:uiPriority w:val="0"/>
    <w:pPr>
      <w:suppressAutoHyphens w:val="0"/>
      <w:autoSpaceDN/>
      <w:spacing w:before="100" w:beforeAutospacing="1" w:after="100" w:afterAutospacing="1"/>
      <w:textAlignment w:val="center"/>
    </w:pPr>
    <w:rPr>
      <w:sz w:val="20"/>
      <w:szCs w:val="20"/>
    </w:rPr>
  </w:style>
  <w:style w:type="paragraph" w:customStyle="1" w:styleId="168">
    <w:name w:val="xl134"/>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69">
    <w:name w:val="xl135"/>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rPr>
      <w:color w:val="FF0000"/>
    </w:rPr>
  </w:style>
  <w:style w:type="paragraph" w:customStyle="1" w:styleId="170">
    <w:name w:val="xl136"/>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71">
    <w:name w:val="xl137"/>
    <w:basedOn w:val="1"/>
    <w:uiPriority w:val="0"/>
    <w:pPr>
      <w:suppressAutoHyphens w:val="0"/>
      <w:autoSpaceDN/>
      <w:spacing w:before="100" w:beforeAutospacing="1" w:after="100" w:afterAutospacing="1"/>
      <w:jc w:val="center"/>
      <w:textAlignment w:val="auto"/>
    </w:pPr>
    <w:rPr>
      <w:b/>
      <w:bCs/>
    </w:rPr>
  </w:style>
  <w:style w:type="paragraph" w:customStyle="1" w:styleId="172">
    <w:name w:val="xl138"/>
    <w:basedOn w:val="1"/>
    <w:uiPriority w:val="0"/>
    <w:pPr>
      <w:suppressAutoHyphens w:val="0"/>
      <w:autoSpaceDN/>
      <w:spacing w:before="100" w:beforeAutospacing="1" w:after="100" w:afterAutospacing="1"/>
      <w:jc w:val="center"/>
      <w:textAlignment w:val="auto"/>
    </w:pPr>
    <w:rPr>
      <w:color w:val="FF0000"/>
    </w:rPr>
  </w:style>
  <w:style w:type="paragraph" w:customStyle="1" w:styleId="173">
    <w:name w:val="xl139"/>
    <w:basedOn w:val="1"/>
    <w:uiPriority w:val="0"/>
    <w:pPr>
      <w:suppressAutoHyphens w:val="0"/>
      <w:autoSpaceDN/>
      <w:spacing w:before="100" w:beforeAutospacing="1" w:after="100" w:afterAutospacing="1"/>
      <w:textAlignment w:val="center"/>
    </w:pPr>
    <w:rPr>
      <w:sz w:val="20"/>
      <w:szCs w:val="20"/>
    </w:rPr>
  </w:style>
  <w:style w:type="paragraph" w:customStyle="1" w:styleId="174">
    <w:name w:val="xl140"/>
    <w:basedOn w:val="1"/>
    <w:uiPriority w:val="0"/>
    <w:pPr>
      <w:pBdr>
        <w:top w:val="single" w:color="auto" w:sz="4" w:space="0"/>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rPr>
      <w:color w:val="00B050"/>
    </w:rPr>
  </w:style>
  <w:style w:type="paragraph" w:customStyle="1" w:styleId="175">
    <w:name w:val="xl141"/>
    <w:basedOn w:val="1"/>
    <w:uiPriority w:val="0"/>
    <w:pPr>
      <w:pBdr>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76">
    <w:name w:val="xl142"/>
    <w:basedOn w:val="1"/>
    <w:uiPriority w:val="0"/>
    <w:pPr>
      <w:pBdr>
        <w:left w:val="single" w:color="auto" w:sz="4" w:space="0"/>
        <w:bottom w:val="single" w:color="auto" w:sz="4" w:space="0"/>
        <w:right w:val="single" w:color="auto" w:sz="4" w:space="0"/>
      </w:pBdr>
      <w:suppressAutoHyphens w:val="0"/>
      <w:autoSpaceDN/>
      <w:spacing w:before="100" w:beforeAutospacing="1" w:after="100" w:afterAutospacing="1"/>
      <w:textAlignment w:val="center"/>
    </w:pPr>
    <w:rPr>
      <w:sz w:val="16"/>
      <w:szCs w:val="16"/>
    </w:rPr>
  </w:style>
  <w:style w:type="paragraph" w:customStyle="1" w:styleId="177">
    <w:name w:val="xl143"/>
    <w:basedOn w:val="1"/>
    <w:uiPriority w:val="0"/>
    <w:pPr>
      <w:pBdr>
        <w:left w:val="single" w:color="auto" w:sz="4" w:space="0"/>
        <w:bottom w:val="single" w:color="auto" w:sz="4" w:space="0"/>
        <w:right w:val="single" w:color="auto" w:sz="4" w:space="0"/>
      </w:pBdr>
      <w:suppressAutoHyphens w:val="0"/>
      <w:autoSpaceDN/>
      <w:spacing w:before="100" w:beforeAutospacing="1" w:after="100" w:afterAutospacing="1"/>
      <w:jc w:val="center"/>
      <w:textAlignment w:val="center"/>
    </w:pPr>
  </w:style>
  <w:style w:type="paragraph" w:customStyle="1" w:styleId="178">
    <w:name w:val="Чертежный"/>
    <w:uiPriority w:val="0"/>
    <w:pPr>
      <w:autoSpaceDN/>
      <w:spacing w:after="0" w:line="240" w:lineRule="auto"/>
      <w:jc w:val="both"/>
      <w:textAlignment w:val="auto"/>
    </w:pPr>
    <w:rPr>
      <w:rFonts w:ascii="ISOCPEUR" w:hAnsi="ISOCPEUR" w:eastAsia="Times New Roman" w:cs="Times New Roman"/>
      <w:i/>
      <w:sz w:val="28"/>
      <w:szCs w:val="20"/>
      <w:lang w:val="uk-UA" w:eastAsia="ru-RU"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212121"/>
      </a:dk1>
      <a:lt1>
        <a:sysClr val="window" lastClr="F3F3F3"/>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29</Pages>
  <Words>6990</Words>
  <Characters>39849</Characters>
  <Lines>332</Lines>
  <Paragraphs>93</Paragraphs>
  <TotalTime>0</TotalTime>
  <ScaleCrop>false</ScaleCrop>
  <LinksUpToDate>false</LinksUpToDate>
  <CharactersWithSpaces>46746</CharactersWithSpaces>
  <Application>WPS Office Сообщество_10.1.0.5672_F1E327BC-269C-435d-A152-05C5408002CA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2014-06-16T12:19:00Z</dcterms:created>
  <dc:creator>ООО ЛВК</dc:creator>
  <cp:lastModifiedBy>zampolit</cp:lastModifiedBy>
  <dcterms:modified xsi:type="dcterms:W3CDTF">2017-06-01T14:40:24Z</dcterms:modified>
  <cp:revision>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1049-10.1.0.5672</vt:lpwstr>
  </property>
</Properties>
</file>